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ENRON ENGINEERING  &amp; CONSTRUCTION COMPANY</w:t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Subtitle"/>
        <w:rPr>
          <w:sz w:val="32"/>
        </w:rPr>
      </w:pPr>
      <w:r>
        <w:rPr>
          <w:sz w:val="32"/>
        </w:rPr>
        <w:t>EPC AGREEMENT TRANSACTION PLANNER</w:t>
      </w:r>
    </w:p>
    <w:p>
      <w:pPr>
        <w:pStyle w:val="Subtitle"/>
        <w:rPr>
          <w:sz w:val="32"/>
        </w:rPr>
      </w:pPr>
      <w:r>
        <w:rPr>
          <w:sz w:val="32"/>
        </w:rPr>
      </w:r>
    </w:p>
    <w:p>
      <w:pPr>
        <w:pStyle w:val="Subtitle"/>
        <w:rPr/>
      </w:pPr>
      <w:r>
        <w:rPr/>
        <w:t>[</w:t>
      </w:r>
      <w:r>
        <w:rPr>
          <w:i/>
          <w:u w:val="single"/>
        </w:rPr>
        <w:t xml:space="preserve">     PROJECT  NAME___</w:t>
      </w:r>
      <w:r>
        <w:rPr/>
        <w:t>]</w:t>
      </w:r>
    </w:p>
    <w:p>
      <w:pPr>
        <w:pStyle w:val="Subtitle"/>
        <w:rPr>
          <w:sz w:val="22"/>
        </w:rPr>
      </w:pPr>
      <w:r>
        <w:rPr>
          <w:sz w:val="22"/>
        </w:rPr>
        <w:t>Date Prepared_____ Rev. No. ___</w:t>
      </w:r>
    </w:p>
    <w:p>
      <w:pPr>
        <w:pStyle w:val="Subtitle"/>
        <w:rPr>
          <w:sz w:val="22"/>
        </w:rPr>
      </w:pPr>
      <w:r>
        <w:rPr>
          <w:sz w:val="22"/>
        </w:rPr>
      </w:r>
    </w:p>
    <w:tbl>
      <w:tblPr>
        <w:tblW w:w="1046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3"/>
        <w:gridCol w:w="5592"/>
      </w:tblGrid>
      <w:tr>
        <w:trPr/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/>
            </w:pPr>
            <w:r>
              <w:rPr/>
              <w:t>PROJECT NAME:</w:t>
            </w:r>
          </w:p>
        </w:tc>
        <w:tc>
          <w:tcPr>
            <w:tcW w:w="5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/>
            </w:pPr>
            <w:r>
              <w:rPr/>
              <w:t>BUSINESS UNIT:</w:t>
            </w:r>
          </w:p>
        </w:tc>
        <w:tc>
          <w:tcPr>
            <w:tcW w:w="5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/>
            </w:pPr>
            <w:r>
              <w:rPr/>
              <w:t>CONFORMITY WITH EXPERIENCE /</w:t>
            </w:r>
          </w:p>
          <w:p>
            <w:pPr>
              <w:pStyle w:val="Subtitle"/>
              <w:jc w:val="start"/>
              <w:rPr/>
            </w:pPr>
            <w:r>
              <w:rPr/>
              <w:t>STRATEGIC MARKET ENTRY:</w:t>
            </w:r>
          </w:p>
        </w:tc>
        <w:tc>
          <w:tcPr>
            <w:tcW w:w="5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/>
            </w:pPr>
            <w:r>
              <w:rPr/>
            </w:r>
          </w:p>
        </w:tc>
      </w:tr>
      <w:tr>
        <w:trPr>
          <w:trHeight w:val="1880" w:hRule="atLeast"/>
        </w:trPr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/>
            </w:pPr>
            <w:r>
              <w:rPr/>
              <w:t>PROJECT DECRIPTION:</w:t>
            </w:r>
          </w:p>
        </w:tc>
        <w:tc>
          <w:tcPr>
            <w:tcW w:w="5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/>
            </w:pPr>
            <w:r>
              <w:rPr/>
              <w:t>COUNTRY &amp; RISK RATING</w:t>
            </w:r>
          </w:p>
        </w:tc>
        <w:tc>
          <w:tcPr>
            <w:tcW w:w="5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/>
            </w:pPr>
            <w:r>
              <w:rPr/>
              <w:t>AFFILIATE PROJECTS IN COUNTRY</w:t>
            </w:r>
          </w:p>
        </w:tc>
        <w:tc>
          <w:tcPr>
            <w:tcW w:w="5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/>
            </w:pPr>
            <w:r>
              <w:rPr/>
            </w:r>
          </w:p>
        </w:tc>
      </w:tr>
      <w:tr>
        <w:trPr>
          <w:trHeight w:val="359" w:hRule="atLeast"/>
        </w:trPr>
        <w:tc>
          <w:tcPr>
            <w:tcW w:w="4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/>
            </w:pPr>
            <w:r>
              <w:rPr/>
              <w:t>THIRD PARTY PROJECTS IN COUNTRY</w:t>
            </w:r>
          </w:p>
        </w:tc>
        <w:tc>
          <w:tcPr>
            <w:tcW w:w="5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/>
            </w:pPr>
            <w:r>
              <w:rPr/>
            </w:r>
          </w:p>
        </w:tc>
      </w:tr>
    </w:tbl>
    <w:p>
      <w:pPr>
        <w:pStyle w:val="Subtitle"/>
        <w:rPr/>
      </w:pPr>
      <w:r>
        <w:rPr/>
      </w:r>
      <w:r>
        <w:br w:type="page"/>
      </w:r>
    </w:p>
    <w:p>
      <w:pPr>
        <w:pStyle w:val="Subtitle"/>
        <w:rPr/>
      </w:pPr>
      <w:r>
        <w:rPr/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82"/>
        <w:gridCol w:w="1882"/>
        <w:gridCol w:w="1744"/>
        <w:gridCol w:w="2020"/>
        <w:gridCol w:w="1882"/>
        <w:gridCol w:w="2218"/>
        <w:gridCol w:w="1546"/>
      </w:tblGrid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ISSUE OR RISK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PRIMARY ALLOCATION OF LIABILITY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MITIGATION</w:t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RESIDUAL OWNER/LENDER  RISK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RESIDUAL CONTRACTOR  RISK</w:t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COMMENTS OR </w:t>
            </w:r>
          </w:p>
          <w:p>
            <w:pPr>
              <w:pStyle w:val="Subtitle"/>
              <w:rPr>
                <w:sz w:val="20"/>
              </w:rPr>
            </w:pPr>
            <w:r>
              <w:rPr>
                <w:sz w:val="20"/>
              </w:rPr>
              <w:t>CONSIDERATIONS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numPr>
                <w:ilvl w:val="0"/>
                <w:numId w:val="1"/>
              </w:numPr>
              <w:jc w:val="start"/>
              <w:rPr>
                <w:sz w:val="20"/>
              </w:rPr>
            </w:pPr>
            <w:r>
              <w:rPr>
                <w:sz w:val="20"/>
              </w:rPr>
              <w:t xml:space="preserve">MACRO ISSUES </w:t>
            </w:r>
          </w:p>
          <w:p>
            <w:pPr>
              <w:pStyle w:val="Subtitle"/>
              <w:ind w:start="45" w:end="0"/>
              <w:jc w:val="start"/>
              <w:rPr>
                <w:sz w:val="20"/>
              </w:rPr>
            </w:pPr>
            <w:r>
              <w:rPr>
                <w:sz w:val="20"/>
              </w:rPr>
              <w:t>NON US/ EUROPE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(a) Risk of government instability  or dishonoring contracts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(b) Currency Risk: instability and inconvertibility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(c) Risk of Effective and fair courts and legal system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(d) Ability of existing regulatory framework to support project.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(e) Risk of general labor unrest or strikes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2. CUSTOMER AND OFF-TAKERS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(a) Customer creditworthiness and reliability: 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Balance sheet strength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Parent or sovereign guarantee?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Experience?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Number of owners?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37" w:hRule="atLeast"/>
        </w:trPr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(b) Ultimate offtaker’s creditworthiness and reliability 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Balance sheet strength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Parent or sovereign guarantee?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Experience?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Number of owners?</w:t>
            </w:r>
          </w:p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3.  SPECIFIC PROJECT DEVELOPMENT ISSUES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numPr>
                <w:ilvl w:val="0"/>
                <w:numId w:val="2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Site Risk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Who selects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When selection and acquisition is to occur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geotech/geology risk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-manmade underground obtructions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-archeology,  graveyards, cultural issues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-wildlife/ endangered species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-adjacent property and effect (emissions, liability)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- displacement of people, relocating, and  retraining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(c) Restricted access to, interference with  use of Site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-sufficiency of road, rail, water and air infrastructure for site access/ responsibility for right to use  and damage caused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pre-existing rights of others owners, lessors and lessees, rights of way, squatters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interference by public disturbances on, at or in vicinity of site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interference by Owner and other contractors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3.  AT RISK DEVELOPMENT EXPENSES IF NTP DOESN’T OCCUR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- EECC internal development  costs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-EECC external expenses development costs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Engineering and equipment cash flow and cancellation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4.  DEFINITION OF SCOPE OF WORK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risk of certainty and technical sufficiency of scope  definition as basis for pricing and defining obligations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risk of gaps in scope, changes in scope post-pricing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 xml:space="preserve">5. SELECTION OF MAJOR EQUIPMENT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risk of certainty of equipment selection decision as a basis for pricing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risk of availability of major equipment, time to commit, and  cancellation charges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6. DEFINITION OF SCHEDULE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certainty of owner estimated PNTP date.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 f Certainty of owner NTP and Financial Close date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Effect of delay in PNTP/Financing/</w:t>
            </w:r>
          </w:p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NTP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8. DEFINTION OF PRICE.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Certainty of and support for pricing basis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9. CHANGES IN SCOPE, SCHEDULE AND PRICE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Owner requested additions/deletions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Contractor suggested additions/deletions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Change in Law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adequacy of legal due diligence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base date identified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Changes to make work comply with law in effect before Change in Law base date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Changes resulting from Changes in Law after base date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Change in Tax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adequacy of tax due diligence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base date identified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changes in tax after base date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Force Majeure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10. NTP CONDITIONS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Risk of inadequate Owner Financing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unrestricted access to Site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Risk of performance obligations prior to NTP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11. LOCAL PERMITTING</w:t>
            </w:r>
          </w:p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(responsibility for &amp; timely issuance)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(a)  adequacy of EECC due diligence re impact of permits, laws and regulations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(b) general permit to build Plant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(c) permits to conduct specific construction activities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(d) Interconnection permits (connect to grids and fuel lines)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(e) Environmental effluent and emissions permits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(f) permits to operate Plant/certifications of Plant entering commercial operations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(g) import clearances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12.  RISK OF SUPPLY OF AND PAYMENT FOR   CONSTRUCTION UTILITIES AND DELAY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power supply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- water supply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on-spec fuel and delivery point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waste water disposal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13. TAKING OVER/</w:t>
            </w:r>
          </w:p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SUBSTANTIAL COMPLETION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Entitlement to Revenues from testing power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If operations are permitted prior to Substantial Completion, entitlement to Revenues from operations prior to Substantial Completion (ie, while contractor is still on LD hook)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objectiveness Conditions to Taking Over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owner achieving commercial operations under off-take agreement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obtaining any operating permits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13. LIABILITY FOR PERFORMANCE   DELAY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Risk that Performance Guarantees are within capability of equipment and design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Completion at less than full guarantees for: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performance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efficiency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Risk of damages in excess of  liquidated damages  for failure to meet Performance Guarantees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Schedule Guarantee is within capability of equipment, design and construction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schedule delay in Substantial Completion in excess of cap on delay liquidated damages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LIMITS ON LIABILITY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Overall Liability is subject to an aggregate cap, except for third party indemnity for personal injury and property damage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Overall liability for Liquidated Damages are subject to subcaps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Liability for consequential damages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WARRANTY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Duration of exposure, and latent defects, etc.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Remedies for warranties  are limited to repair &amp; replace and are stated to be exclusive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Consequential losses that owner incurs during Warranty work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Risk of Warranties  (including evergreen) are subject to clear sunset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All implied warranties are excluded and remedies for warranties are limited exclusively to those in the  Contract.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INDEMNITY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INSURANCE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Adequate coverage and appropriate deductibles provided by  Contractors Comprehensive General Liability Policy </w:t>
            </w:r>
          </w:p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Builders All Risk </w:t>
            </w:r>
          </w:p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contractor places, or places jointly with owner</w:t>
            </w:r>
          </w:p>
          <w:p>
            <w:pPr>
              <w:pStyle w:val="Subtitle"/>
              <w:numPr>
                <w:ilvl w:val="0"/>
                <w:numId w:val="3"/>
              </w:numPr>
              <w:ind w:hanging="0" w:start="0" w:end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owner bears risk of loss</w:t>
            </w:r>
          </w:p>
          <w:p>
            <w:pPr>
              <w:pStyle w:val="Subtitle"/>
              <w:numPr>
                <w:ilvl w:val="0"/>
                <w:numId w:val="3"/>
              </w:numPr>
              <w:ind w:hanging="0" w:start="0" w:end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covers business interruption</w:t>
            </w:r>
          </w:p>
          <w:p>
            <w:pPr>
              <w:pStyle w:val="Subtitle"/>
              <w:numPr>
                <w:ilvl w:val="0"/>
                <w:numId w:val="3"/>
              </w:numPr>
              <w:ind w:hanging="0" w:start="0" w:end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waives subrogation against Contractor and Subcontractors, and names them as insureds</w:t>
            </w:r>
          </w:p>
          <w:p>
            <w:pPr>
              <w:pStyle w:val="Subtitle"/>
              <w:numPr>
                <w:ilvl w:val="0"/>
                <w:numId w:val="3"/>
              </w:numPr>
              <w:ind w:hanging="0" w:start="0" w:end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[contractor obligation to proceed with repair work conditioned on carrier commitment to pay for such work.]</w:t>
            </w:r>
          </w:p>
          <w:p>
            <w:pPr>
              <w:pStyle w:val="Subtitle"/>
              <w:numPr>
                <w:ilvl w:val="0"/>
                <w:numId w:val="3"/>
              </w:numPr>
              <w:ind w:hanging="0" w:start="0" w:end="0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DOES NOT include contractors’ CGL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Contractor does not provide coverage for: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Errors and Omissions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Pollution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All insurance is jointly brokered and placed, Contractor is named an insured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25" w:hRule="atLeast"/>
        </w:trPr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Subrogation is  waived against Contractors and Subcontractors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OPERATIONS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Adequate number of operators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Operators adequately trained, experienced and competent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Scope of Contractor obligation to train clearly defined and limited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Operators take instruction from Contractor during start-up and commissioning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FORCE MAJEURE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Force majuere definition of events beyond control, with illustrative, not exhaustive listing of events.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Political force majeure, including state action, war,  general civil, labor unrest, etc.,  impacts: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Schedule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Cost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Other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Other force Majeure, including natural events etc.,  impacts: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Schedule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Cost</w:t>
            </w:r>
          </w:p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-      other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Suspension or termination by Owner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Suspension of Termination by Contractor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caps/>
                <w:sz w:val="20"/>
              </w:rPr>
            </w:pPr>
            <w:r>
              <w:rPr>
                <w:caps/>
                <w:sz w:val="20"/>
              </w:rPr>
              <w:t>Changes in Law after base date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caps/>
                <w:sz w:val="20"/>
              </w:rPr>
            </w:pPr>
            <w:r>
              <w:rPr>
                <w:caps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TAXES AND CHANGE IN TAX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Income taxes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customs duties and fees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Sales and VAT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Use fees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Other taxes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Change in tax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DRAWINGS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Contractor retains ownership of design as evidenced by drawings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Owner right to comment/approve  limited to core listed drawings 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Owner comment/approval</w:t>
            </w:r>
          </w:p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Cycle limited in time to fit schedule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Owner rights to use drawings limited to this Project only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TERMINATION BY OWNER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For Cause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For Convenience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TERMINATION BY CONTRACTOR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For Cause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Extended Force Majeure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Extended Delay in NTP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GOVERNING LAW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Governing law is either New York or English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DISPUTE RESOLUTION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Expert Provisions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neutrality of expert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efficiency of  recourse to expert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 irrational decision of expert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-enforcement of decision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Arbitration Provisions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Neutrality of  rules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Neutrality and qualification of arbitrators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Irrational decision of tribunal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Award of expenses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Enforceability of award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jc w:val="start"/>
              <w:rPr>
                <w:sz w:val="20"/>
              </w:rPr>
            </w:pPr>
            <w:r>
              <w:rPr>
                <w:sz w:val="20"/>
              </w:rPr>
              <w:t>Litigation provisions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Neutrality of  applicable laws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Neutrality and qualification of courts 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Irrational decision of court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sz w:val="20"/>
              </w:rPr>
            </w:pPr>
            <w:r>
              <w:rPr>
                <w:b w:val="false"/>
                <w:sz w:val="20"/>
              </w:rPr>
              <w:t>Award of expenses</w:t>
            </w:r>
          </w:p>
          <w:p>
            <w:pPr>
              <w:pStyle w:val="Subtitle"/>
              <w:numPr>
                <w:ilvl w:val="0"/>
                <w:numId w:val="3"/>
              </w:numPr>
              <w:jc w:val="start"/>
              <w:rPr>
                <w:sz w:val="20"/>
              </w:rPr>
            </w:pPr>
            <w:r>
              <w:rPr>
                <w:b w:val="false"/>
                <w:sz w:val="20"/>
              </w:rPr>
              <w:t>enforceability of judgment</w:t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Subtitle"/>
        <w:jc w:val="start"/>
        <w:rPr>
          <w:sz w:val="20"/>
        </w:rPr>
      </w:pPr>
      <w:r>
        <w:rPr>
          <w:sz w:val="20"/>
        </w:rPr>
      </w:r>
    </w:p>
    <w:p>
      <w:pPr>
        <w:pStyle w:val="Subtitle"/>
        <w:jc w:val="start"/>
        <w:rPr>
          <w:sz w:val="20"/>
        </w:rPr>
      </w:pPr>
      <w:r>
        <w:rPr>
          <w:sz w:val="20"/>
        </w:rPr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jc w:val="start"/>
        <w:rPr/>
      </w:pPr>
      <w:r>
        <w:rPr/>
      </w:r>
    </w:p>
    <w:p>
      <w:pPr>
        <w:pStyle w:val="Subtitle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405"/>
        </w:tabs>
        <w:ind w:start="405" w:hanging="360"/>
      </w:pPr>
      <w:rPr/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2000-04-10T17:39:00Z</dcterms:created>
  <dc:creator>eecc</dc:creator>
  <dc:description/>
  <dc:language>en-CA</dc:language>
  <cp:lastModifiedBy>kmann</cp:lastModifiedBy>
  <cp:lastPrinted>2000-01-18T07:40:00Z</cp:lastPrinted>
  <dcterms:modified xsi:type="dcterms:W3CDTF">2000-04-10T17:39:00Z</dcterms:modified>
  <cp:revision>2</cp:revision>
  <dc:subject/>
  <dc:title>ENRON ENGINEERING  &amp; CONSTRUCTION COMPANY</dc:title>
</cp:coreProperties>
</file>