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12"/>
        </w:rPr>
      </w:pPr>
      <w:r>
        <w:rPr/>
        <w:t xml:space="preserve">Meeting of the North American Equity Derivatives Committee </w:t>
      </w:r>
    </w:p>
    <w:p>
      <w:pPr>
        <w:pStyle w:val="Normal"/>
        <w:rPr>
          <w:sz w:val="12"/>
        </w:rPr>
      </w:pPr>
      <w:r>
        <w:rPr>
          <w:sz w:val="12"/>
        </w:rPr>
      </w:r>
    </w:p>
    <w:p>
      <w:pPr>
        <w:pStyle w:val="Normal"/>
        <w:rPr/>
      </w:pPr>
      <w:r>
        <w:rPr/>
        <w:t>Monday, October 16, 2000</w:t>
      </w:r>
    </w:p>
    <w:p>
      <w:pPr>
        <w:pStyle w:val="Normal"/>
        <w:rPr>
          <w:sz w:val="12"/>
        </w:rPr>
      </w:pPr>
      <w:r>
        <w:rPr/>
        <w:t>ISDA offices, 600 Fifth Ave, New York, NY 10020</w:t>
      </w:r>
    </w:p>
    <w:p>
      <w:pPr>
        <w:pStyle w:val="Normal"/>
        <w:rPr>
          <w:sz w:val="12"/>
        </w:rPr>
      </w:pPr>
      <w:r>
        <w:rPr>
          <w:sz w:val="12"/>
        </w:rPr>
      </w:r>
    </w:p>
    <w:p>
      <w:pPr>
        <w:pStyle w:val="Normal"/>
        <w:rPr>
          <w:b/>
        </w:rPr>
      </w:pPr>
      <w:r>
        <w:rPr>
          <w:b/>
        </w:rPr>
        <w:t>Chaired by Stephen Kowitt, Managing Director, JP Morgan</w:t>
      </w:r>
    </w:p>
    <w:p>
      <w:pPr>
        <w:pStyle w:val="Normal"/>
        <w:rPr>
          <w:b/>
        </w:rPr>
      </w:pPr>
      <w:r>
        <w:rPr>
          <w:b/>
        </w:rPr>
      </w:r>
    </w:p>
    <w:p>
      <w:pPr>
        <w:pStyle w:val="Heading1"/>
        <w:ind w:hanging="0" w:start="0"/>
        <w:rPr/>
      </w:pPr>
      <w:r>
        <w:rPr/>
        <w:t>Agenda:</w:t>
      </w:r>
    </w:p>
    <w:p>
      <w:pPr>
        <w:pStyle w:val="Normal"/>
        <w:numPr>
          <w:ilvl w:val="0"/>
          <w:numId w:val="2"/>
        </w:numPr>
        <w:rPr/>
      </w:pPr>
      <w:r>
        <w:rPr/>
        <w:t>Regulatory developments</w:t>
      </w:r>
    </w:p>
    <w:p>
      <w:pPr>
        <w:pStyle w:val="Normal"/>
        <w:numPr>
          <w:ilvl w:val="0"/>
          <w:numId w:val="2"/>
        </w:numPr>
        <w:rPr/>
      </w:pPr>
      <w:r>
        <w:rPr/>
        <w:t>Accounting for single stock options, and other accounting initiatives affecting North America</w:t>
      </w:r>
    </w:p>
    <w:p>
      <w:pPr>
        <w:pStyle w:val="Normal"/>
        <w:numPr>
          <w:ilvl w:val="0"/>
          <w:numId w:val="2"/>
        </w:numPr>
        <w:rPr/>
      </w:pPr>
      <w:r>
        <w:rPr/>
        <w:t>ISDA Survey on provisions policy and contacts</w:t>
      </w:r>
    </w:p>
    <w:p>
      <w:pPr>
        <w:pStyle w:val="Normal"/>
        <w:numPr>
          <w:ilvl w:val="0"/>
          <w:numId w:val="2"/>
        </w:numPr>
        <w:rPr/>
      </w:pPr>
      <w:r>
        <w:rPr/>
        <w:t>Other issues discussed by the ISDA Documentation Committee</w:t>
      </w:r>
    </w:p>
    <w:p>
      <w:pPr>
        <w:pStyle w:val="Normal"/>
        <w:numPr>
          <w:ilvl w:val="0"/>
          <w:numId w:val="2"/>
        </w:numPr>
        <w:rPr>
          <w:sz w:val="12"/>
        </w:rPr>
      </w:pPr>
      <w:r>
        <w:rPr/>
        <w:t>E-commerce and equity derivatives</w:t>
      </w:r>
    </w:p>
    <w:p>
      <w:pPr>
        <w:pStyle w:val="Normal"/>
        <w:rPr>
          <w:sz w:val="12"/>
        </w:rPr>
      </w:pPr>
      <w:r>
        <w:rPr>
          <w:sz w:val="12"/>
        </w:rPr>
      </w:r>
    </w:p>
    <w:p>
      <w:pPr>
        <w:pStyle w:val="Heading1"/>
        <w:ind w:hanging="0" w:start="0"/>
        <w:rPr/>
      </w:pPr>
      <w:r>
        <w:rPr/>
        <w:t>Minutes of Meeting:</w:t>
      </w:r>
    </w:p>
    <w:p>
      <w:pPr>
        <w:pStyle w:val="Normal"/>
        <w:numPr>
          <w:ilvl w:val="0"/>
          <w:numId w:val="2"/>
        </w:numPr>
        <w:rPr>
          <w:sz w:val="12"/>
        </w:rPr>
      </w:pPr>
      <w:r>
        <w:rPr/>
        <w:t>Mr Kowitt called to order his inaugural meeting as North American Equity Derivatives Chair.</w:t>
      </w:r>
    </w:p>
    <w:p>
      <w:pPr>
        <w:pStyle w:val="Normal"/>
        <w:rPr>
          <w:sz w:val="12"/>
        </w:rPr>
      </w:pPr>
      <w:r>
        <w:rPr>
          <w:sz w:val="12"/>
        </w:rPr>
      </w:r>
    </w:p>
    <w:p>
      <w:pPr>
        <w:pStyle w:val="Normal"/>
        <w:numPr>
          <w:ilvl w:val="0"/>
          <w:numId w:val="2"/>
        </w:numPr>
        <w:rPr>
          <w:sz w:val="12"/>
        </w:rPr>
      </w:pPr>
      <w:r>
        <w:rPr/>
        <w:t xml:space="preserve">Marjorie Marker of Arthur Andersen gave an overview of new accounting initiatives particularly affecting the North American markets. First, she summarized the issues surrounding the FASB’s Emerging Issues Task Force Issue No. 00-19, “Determination of Whether Share Settlement is Within the Control of the Issuer for Purposes of Applying Issue No.96-13. The governing concept of EITF 00-19 is that for a contract to be accounted as an equity instrument of the issue, a contract based on the issuer’s own equity should put the company’s counterparty in no better position than the company’s common shareholders. </w:t>
      </w:r>
    </w:p>
    <w:p>
      <w:pPr>
        <w:pStyle w:val="Normal"/>
        <w:rPr>
          <w:sz w:val="12"/>
        </w:rPr>
      </w:pPr>
      <w:r>
        <w:rPr>
          <w:sz w:val="12"/>
        </w:rPr>
      </w:r>
    </w:p>
    <w:p>
      <w:pPr>
        <w:pStyle w:val="Normal"/>
        <w:rPr>
          <w:sz w:val="12"/>
        </w:rPr>
      </w:pPr>
      <w:r>
        <w:rPr/>
        <w:t xml:space="preserve">Under EITF 96-13, derivatives in a company’s own stock are either treated as equity instruments of the issuer and are recorded initially at fair value, but are not marked to fair value during their life. These are instruments where the issuer has the choice of either gross physical, net share or net cash settlement. Where the counterparty has the choice of settlement and the choice includes net cash, the derivative is marked to market through P&amp;L. EITF 00-19 deals with the situation where the contract would normally meet the requirements of EITF 96-13 to be an equity instrument of the issuer but there are contract provisions that may or may not cause a net cash settlement outside of the issuer’s control. Ms Marker also noted that at its November 20, 2000 meeting, the EITF would be dealing with the issue of provisions outside the issuer’s control that are contained in public deals which may be impossible to fix by the required date in EITF 00-19 (June 30,2001). </w:t>
      </w:r>
    </w:p>
    <w:p>
      <w:pPr>
        <w:pStyle w:val="Normal"/>
        <w:rPr>
          <w:sz w:val="12"/>
        </w:rPr>
      </w:pPr>
      <w:r>
        <w:rPr>
          <w:sz w:val="12"/>
        </w:rPr>
      </w:r>
    </w:p>
    <w:p>
      <w:pPr>
        <w:pStyle w:val="Normal"/>
        <w:rPr>
          <w:sz w:val="12"/>
        </w:rPr>
      </w:pPr>
      <w:r>
        <w:rPr/>
        <w:t>Ms Marker also reported to the committee that the FASB planned imminently to release is exposure draft, ‘Liabilities and Equity’, comment on which is due by March 31, 2001 (see attached). The Board has agreed to change the effective date of the Exposure Draft to fiscal years starting after June 15, 2002, but will also require retroactive restatement for all affected transactions on members’ books at that date. The draft will constitute a proposed change to GAAP.</w:t>
      </w:r>
    </w:p>
    <w:p>
      <w:pPr>
        <w:pStyle w:val="Normal"/>
        <w:rPr>
          <w:sz w:val="12"/>
        </w:rPr>
      </w:pPr>
      <w:r>
        <w:rPr>
          <w:sz w:val="12"/>
        </w:rPr>
      </w:r>
    </w:p>
    <w:p>
      <w:pPr>
        <w:pStyle w:val="BodyText"/>
        <w:rPr>
          <w:sz w:val="12"/>
          <w:u w:val="none"/>
        </w:rPr>
      </w:pPr>
      <w:r>
        <w:rPr>
          <w:u w:val="none"/>
        </w:rPr>
        <w:t xml:space="preserve">The question was raised as to how to harmonize inconsistencies between the EITF pronouncement and the ‘Liabilities and Equity’ Draft. These issues will also be referred to a forthcoming meeting of ISDA’s Accounting Committee. Ms Marker urged committee members to discuss these drafts with their auditors. </w:t>
      </w:r>
    </w:p>
    <w:p>
      <w:pPr>
        <w:pStyle w:val="Normal"/>
        <w:rPr>
          <w:sz w:val="12"/>
          <w:u w:val="none"/>
        </w:rPr>
      </w:pPr>
      <w:r>
        <w:rPr>
          <w:sz w:val="12"/>
          <w:u w:val="none"/>
        </w:rPr>
      </w:r>
    </w:p>
    <w:p>
      <w:pPr>
        <w:pStyle w:val="Normal"/>
        <w:rPr>
          <w:sz w:val="12"/>
        </w:rPr>
      </w:pPr>
      <w:r>
        <w:rPr/>
        <w:t xml:space="preserve">Susan Hinko suggested that ISDA make a joint approach with the Securities Industry Association to the SEC, an approach that was used to lobby the FASB on intra-company hedging. </w:t>
      </w:r>
    </w:p>
    <w:p>
      <w:pPr>
        <w:pStyle w:val="Normal"/>
        <w:rPr>
          <w:sz w:val="12"/>
        </w:rPr>
      </w:pPr>
      <w:r>
        <w:rPr>
          <w:sz w:val="12"/>
        </w:rPr>
      </w:r>
    </w:p>
    <w:p>
      <w:pPr>
        <w:pStyle w:val="Normal"/>
        <w:rPr>
          <w:sz w:val="12"/>
        </w:rPr>
      </w:pPr>
      <w:r>
        <w:rPr/>
        <w:t>Robert Pickel suggested that the differing treatment of certain terminated transactions could have implications for netting under the ISDA Master Agreement. He and Demetrios Xistris suggested approaching Cravath, Swaine &amp; Moore about this to discuss whether this was a concern.</w:t>
      </w:r>
    </w:p>
    <w:p>
      <w:pPr>
        <w:pStyle w:val="Normal"/>
        <w:rPr>
          <w:sz w:val="12"/>
        </w:rPr>
      </w:pPr>
      <w:r>
        <w:rPr>
          <w:sz w:val="12"/>
        </w:rPr>
      </w:r>
    </w:p>
    <w:p>
      <w:pPr>
        <w:pStyle w:val="Normal"/>
        <w:numPr>
          <w:ilvl w:val="0"/>
          <w:numId w:val="2"/>
        </w:numPr>
        <w:rPr>
          <w:sz w:val="12"/>
        </w:rPr>
      </w:pPr>
      <w:r>
        <w:rPr/>
        <w:t>Ruth Ainslie gave an update on the progress of the reform of the CEA.</w:t>
      </w:r>
    </w:p>
    <w:p>
      <w:pPr>
        <w:pStyle w:val="Normal"/>
        <w:rPr>
          <w:sz w:val="12"/>
        </w:rPr>
      </w:pPr>
      <w:r>
        <w:rPr>
          <w:sz w:val="12"/>
        </w:rPr>
      </w:r>
    </w:p>
    <w:p>
      <w:pPr>
        <w:pStyle w:val="Normal"/>
        <w:numPr>
          <w:ilvl w:val="0"/>
          <w:numId w:val="2"/>
        </w:numPr>
        <w:rPr>
          <w:sz w:val="12"/>
        </w:rPr>
      </w:pPr>
      <w:r>
        <w:rPr/>
        <w:t>Robert Pickel gave a brief synopsis on documentation issues. ISDA has identified a need for an amendment or supplement to the 1996 Equity Derivatives Definitions. It was suggested that ISDA prepare a note for all members of the Equity Derivatives Committee asking them to identify their issues with the ’96 Definitions. The effort should be collaborative between this committee and the Documentation and Operations Committees, he added.</w:t>
      </w:r>
    </w:p>
    <w:p>
      <w:pPr>
        <w:pStyle w:val="Normal"/>
        <w:rPr>
          <w:sz w:val="12"/>
        </w:rPr>
      </w:pPr>
      <w:r>
        <w:rPr>
          <w:sz w:val="12"/>
        </w:rPr>
      </w:r>
    </w:p>
    <w:p>
      <w:pPr>
        <w:pStyle w:val="Normal"/>
        <w:numPr>
          <w:ilvl w:val="0"/>
          <w:numId w:val="2"/>
        </w:numPr>
        <w:rPr>
          <w:sz w:val="12"/>
        </w:rPr>
      </w:pPr>
      <w:r>
        <w:rPr/>
        <w:t xml:space="preserve">Richard Metcalfe gave an update on the Survey provisions policy and contacts that ISDA has sponsored. The rationale behind the survey was to identify member policies regarding adjustments and extraordinary event provisions affecting shares (Article 9 of the Equity Derivatives Definitions) and to establish a comprehensive list of decision makers in major equity derivative firms. The survey was for the same range of products irrespective of region. </w:t>
      </w:r>
    </w:p>
    <w:p>
      <w:pPr>
        <w:pStyle w:val="Normal"/>
        <w:rPr>
          <w:sz w:val="12"/>
        </w:rPr>
      </w:pPr>
      <w:r>
        <w:rPr>
          <w:sz w:val="12"/>
        </w:rPr>
      </w:r>
    </w:p>
    <w:p>
      <w:pPr>
        <w:pStyle w:val="Normal"/>
        <w:rPr>
          <w:sz w:val="12"/>
        </w:rPr>
      </w:pPr>
      <w:r>
        <w:rPr/>
        <w:t>The net result of the survey was to confirm that there are many differences in approach, and that in some cases the considerable backlogs of confirmations are making it difficult for certain counterparties to deal with each other. In some instances, individual firms have different policies for different time zones. Mr Metcalfe noted that analysis of the responses was in progress, and that a working group should be formed to carry forward this analysis. The contact list established will be used to establish a working group of decision makers in Europe and North America, to include representatives from the front and back offices and from the legal departments of firms.</w:t>
      </w:r>
    </w:p>
    <w:p>
      <w:pPr>
        <w:pStyle w:val="Normal"/>
        <w:rPr>
          <w:sz w:val="12"/>
        </w:rPr>
      </w:pPr>
      <w:r>
        <w:rPr>
          <w:sz w:val="12"/>
        </w:rPr>
      </w:r>
    </w:p>
    <w:p>
      <w:pPr>
        <w:pStyle w:val="Normal"/>
        <w:rPr/>
      </w:pPr>
      <w:r>
        <w:rPr>
          <w:b/>
        </w:rPr>
        <w:t>Volunteer organisations:</w:t>
      </w:r>
      <w:r>
        <w:rPr/>
        <w:t xml:space="preserve"> Morgan Stanley, JP Morgan, Citigroup, Goldman Sachs, Bank of America, Merrill Lynch.  It was agreed that the group should try to solicit input from some of the major European headquartered firms also</w:t>
      </w:r>
      <w:r>
        <w:rPr>
          <w:sz w:val="12"/>
        </w:rPr>
        <w:t xml:space="preserve">. </w:t>
      </w:r>
    </w:p>
    <w:p>
      <w:pPr>
        <w:pStyle w:val="Normal"/>
        <w:rPr>
          <w:sz w:val="12"/>
        </w:rPr>
      </w:pPr>
      <w:r>
        <w:rPr>
          <w:sz w:val="12"/>
        </w:rPr>
      </w:r>
    </w:p>
    <w:p>
      <w:pPr>
        <w:pStyle w:val="Normal"/>
        <w:rPr>
          <w:sz w:val="12"/>
        </w:rPr>
      </w:pPr>
      <w:r>
        <w:rPr/>
        <w:t>Before closing the meeting, Mr Kowitt stressed that the findings of the survey highlighted the desirability for electronic confirmation processing in the equity derivatives market.</w:t>
      </w:r>
    </w:p>
    <w:p>
      <w:pPr>
        <w:pStyle w:val="Normal"/>
        <w:rPr>
          <w:sz w:val="12"/>
        </w:rPr>
      </w:pPr>
      <w:r>
        <w:rPr>
          <w:sz w:val="12"/>
        </w:rPr>
      </w:r>
    </w:p>
    <w:p>
      <w:pPr>
        <w:pStyle w:val="Normal"/>
        <w:rPr>
          <w:b/>
        </w:rPr>
      </w:pPr>
      <w:r>
        <w:rPr>
          <w:b/>
        </w:rPr>
        <w:t>Action points:</w:t>
      </w:r>
    </w:p>
    <w:p>
      <w:pPr>
        <w:pStyle w:val="Normal"/>
        <w:numPr>
          <w:ilvl w:val="0"/>
          <w:numId w:val="2"/>
        </w:numPr>
        <w:rPr/>
      </w:pPr>
      <w:r>
        <w:rPr/>
        <w:t>Examine issues arising from the accounting papers, and in coordination with accounting committee, determine how to proceed, including whether ISDA should lobby FASB with other organizations.</w:t>
      </w:r>
    </w:p>
    <w:p>
      <w:pPr>
        <w:pStyle w:val="Normal"/>
        <w:numPr>
          <w:ilvl w:val="0"/>
          <w:numId w:val="2"/>
        </w:numPr>
        <w:rPr/>
      </w:pPr>
      <w:r>
        <w:rPr/>
        <w:t>Review the implications for netting under the ISDA Master.</w:t>
      </w:r>
    </w:p>
    <w:p>
      <w:pPr>
        <w:pStyle w:val="Normal"/>
        <w:numPr>
          <w:ilvl w:val="0"/>
          <w:numId w:val="2"/>
        </w:numPr>
        <w:rPr/>
      </w:pPr>
      <w:r>
        <w:rPr/>
        <w:t>Volunteer group to review the issues raised by the survey, and to start work on resolving these.</w:t>
      </w:r>
    </w:p>
    <w:p>
      <w:pPr>
        <w:pStyle w:val="Normal"/>
        <w:numPr>
          <w:ilvl w:val="0"/>
          <w:numId w:val="2"/>
        </w:numPr>
        <w:rPr>
          <w:sz w:val="12"/>
        </w:rPr>
      </w:pPr>
      <w:r>
        <w:rPr/>
        <w:t>ISDA to poll all members of the Equity Derivatives Committee on  issues with the ’96 Definitions</w:t>
      </w:r>
    </w:p>
    <w:p>
      <w:pPr>
        <w:pStyle w:val="Normal"/>
        <w:rPr>
          <w:sz w:val="12"/>
        </w:rPr>
      </w:pPr>
      <w:r>
        <w:rPr>
          <w:sz w:val="12"/>
        </w:rPr>
      </w:r>
    </w:p>
    <w:p>
      <w:pPr>
        <w:pStyle w:val="Normal"/>
        <w:rPr>
          <w:b/>
        </w:rPr>
      </w:pPr>
      <w:r>
        <w:rPr>
          <w:b/>
        </w:rPr>
        <w:t>Attendance list:</w:t>
      </w:r>
    </w:p>
    <w:p>
      <w:pPr>
        <w:pStyle w:val="Heading1"/>
        <w:ind w:hanging="0" w:start="0"/>
        <w:rPr/>
      </w:pPr>
      <w:r>
        <w:rPr/>
        <w:t>Name</w:t>
        <w:tab/>
        <w:tab/>
        <w:tab/>
        <w:tab/>
        <w:tab/>
        <w:tab/>
        <w:t>Institution</w:t>
      </w:r>
    </w:p>
    <w:p>
      <w:pPr>
        <w:pStyle w:val="Normal"/>
        <w:rPr/>
      </w:pPr>
      <w:r>
        <w:rPr/>
        <w:t>Marjorie Marker</w:t>
        <w:tab/>
        <w:tab/>
        <w:tab/>
        <w:tab/>
        <w:tab/>
        <w:t>Arthur Andersen</w:t>
      </w:r>
    </w:p>
    <w:p>
      <w:pPr>
        <w:pStyle w:val="Normal"/>
        <w:rPr/>
      </w:pPr>
      <w:r>
        <w:rPr/>
        <w:t>Ray Shirazi</w:t>
        <w:tab/>
        <w:tab/>
        <w:tab/>
        <w:tab/>
        <w:tab/>
        <w:t>CWT</w:t>
      </w:r>
    </w:p>
    <w:p>
      <w:pPr>
        <w:pStyle w:val="Normal"/>
        <w:rPr/>
      </w:pPr>
      <w:r>
        <w:rPr/>
        <w:t>Glen Rae</w:t>
        <w:tab/>
        <w:tab/>
        <w:tab/>
        <w:tab/>
        <w:tab/>
        <w:t>Goldman Sachs</w:t>
      </w:r>
    </w:p>
    <w:p>
      <w:pPr>
        <w:pStyle w:val="Normal"/>
        <w:rPr/>
      </w:pPr>
      <w:r>
        <w:rPr/>
        <w:t>Gordon Kiesling</w:t>
        <w:tab/>
        <w:tab/>
        <w:tab/>
        <w:tab/>
        <w:tab/>
        <w:t>Lehman Brothers</w:t>
      </w:r>
    </w:p>
    <w:p>
      <w:pPr>
        <w:pStyle w:val="Normal"/>
        <w:rPr/>
      </w:pPr>
      <w:r>
        <w:rPr/>
        <w:t>Angie Karna</w:t>
        <w:tab/>
        <w:tab/>
        <w:tab/>
        <w:tab/>
        <w:tab/>
        <w:t>Lehman Brothers</w:t>
      </w:r>
    </w:p>
    <w:p>
      <w:pPr>
        <w:pStyle w:val="Normal"/>
        <w:rPr/>
      </w:pPr>
      <w:r>
        <w:rPr/>
        <w:t>Susan Hinko</w:t>
        <w:tab/>
        <w:tab/>
        <w:tab/>
        <w:tab/>
        <w:tab/>
        <w:t>ICOR</w:t>
      </w:r>
    </w:p>
    <w:p>
      <w:pPr>
        <w:pStyle w:val="Normal"/>
        <w:rPr/>
      </w:pPr>
      <w:r>
        <w:rPr/>
        <w:t>Michael Tari</w:t>
        <w:tab/>
        <w:tab/>
        <w:tab/>
        <w:tab/>
        <w:tab/>
        <w:t>ICOR</w:t>
      </w:r>
    </w:p>
    <w:p>
      <w:pPr>
        <w:pStyle w:val="Normal"/>
        <w:rPr/>
      </w:pPr>
      <w:r>
        <w:rPr/>
        <w:t>Gina Ghent</w:t>
        <w:tab/>
        <w:tab/>
        <w:tab/>
        <w:tab/>
        <w:tab/>
        <w:t>CIBC</w:t>
      </w:r>
    </w:p>
    <w:p>
      <w:pPr>
        <w:pStyle w:val="Normal"/>
        <w:rPr/>
      </w:pPr>
      <w:r>
        <w:rPr/>
        <w:t>Carle Warnke</w:t>
        <w:tab/>
        <w:tab/>
        <w:tab/>
        <w:tab/>
        <w:tab/>
        <w:t>Bank of America</w:t>
      </w:r>
    </w:p>
    <w:p>
      <w:pPr>
        <w:pStyle w:val="Normal"/>
        <w:rPr/>
      </w:pPr>
      <w:r>
        <w:rPr/>
        <w:t>Chuck Nelson</w:t>
        <w:tab/>
        <w:tab/>
        <w:tab/>
        <w:tab/>
        <w:tab/>
        <w:t>Bank of America</w:t>
      </w:r>
    </w:p>
    <w:p>
      <w:pPr>
        <w:pStyle w:val="Normal"/>
        <w:rPr/>
      </w:pPr>
      <w:r>
        <w:rPr/>
        <w:t>Michael Elgarten</w:t>
        <w:tab/>
        <w:tab/>
        <w:tab/>
        <w:tab/>
        <w:tab/>
        <w:t>Bank of America</w:t>
      </w:r>
    </w:p>
    <w:p>
      <w:pPr>
        <w:pStyle w:val="Normal"/>
        <w:rPr/>
      </w:pPr>
      <w:r>
        <w:rPr/>
        <w:t>Demetrios Xistris</w:t>
        <w:tab/>
        <w:tab/>
        <w:tab/>
        <w:tab/>
        <w:tab/>
        <w:t>JP Morgan</w:t>
      </w:r>
    </w:p>
    <w:p>
      <w:pPr>
        <w:pStyle w:val="Normal"/>
        <w:rPr/>
      </w:pPr>
      <w:r>
        <w:rPr/>
        <w:t>Luke Farber</w:t>
        <w:tab/>
        <w:tab/>
        <w:tab/>
        <w:tab/>
        <w:tab/>
        <w:t>Merrill Lynch</w:t>
      </w:r>
    </w:p>
    <w:p>
      <w:pPr>
        <w:pStyle w:val="Normal"/>
        <w:rPr/>
      </w:pPr>
      <w:r>
        <w:rPr/>
        <w:t>Gary Rosenblum</w:t>
        <w:tab/>
        <w:tab/>
        <w:tab/>
        <w:tab/>
        <w:tab/>
        <w:t>Merrill Lynch</w:t>
      </w:r>
    </w:p>
    <w:p>
      <w:pPr>
        <w:pStyle w:val="Normal"/>
        <w:rPr/>
      </w:pPr>
      <w:r>
        <w:rPr/>
        <w:t>Ilene Froom</w:t>
        <w:tab/>
        <w:tab/>
        <w:tab/>
        <w:tab/>
        <w:tab/>
        <w:t>Bear Stearns</w:t>
      </w:r>
    </w:p>
    <w:p>
      <w:pPr>
        <w:pStyle w:val="Normal"/>
        <w:rPr/>
      </w:pPr>
      <w:r>
        <w:rPr/>
        <w:t>Louise Marshall</w:t>
        <w:tab/>
        <w:tab/>
        <w:tab/>
        <w:tab/>
        <w:tab/>
        <w:t>ISDA</w:t>
      </w:r>
    </w:p>
    <w:p>
      <w:pPr>
        <w:pStyle w:val="Normal"/>
        <w:rPr/>
      </w:pPr>
      <w:r>
        <w:rPr/>
        <w:t>Ruth Ainslie</w:t>
        <w:tab/>
        <w:tab/>
        <w:tab/>
        <w:tab/>
        <w:tab/>
        <w:t>ISDA</w:t>
      </w:r>
    </w:p>
    <w:p>
      <w:pPr>
        <w:pStyle w:val="Normal"/>
        <w:rPr/>
      </w:pPr>
      <w:r>
        <w:rPr/>
        <w:t>Robert Pickel</w:t>
        <w:tab/>
        <w:tab/>
        <w:tab/>
        <w:tab/>
        <w:tab/>
        <w:t>ISDA</w:t>
      </w:r>
    </w:p>
    <w:p>
      <w:pPr>
        <w:pStyle w:val="Normal"/>
        <w:rPr/>
      </w:pPr>
      <w:r>
        <w:rPr/>
        <w:t>Pedro Martinez</w:t>
        <w:tab/>
        <w:tab/>
        <w:tab/>
        <w:tab/>
        <w:tab/>
        <w:t>ISDA</w:t>
      </w:r>
    </w:p>
    <w:p>
      <w:pPr>
        <w:pStyle w:val="Normal"/>
        <w:rPr>
          <w:b/>
        </w:rPr>
      </w:pPr>
      <w:r>
        <w:rPr>
          <w:b/>
        </w:rPr>
        <w:t>Participating by telephone:</w:t>
      </w:r>
    </w:p>
    <w:p>
      <w:pPr>
        <w:pStyle w:val="Normal"/>
        <w:rPr/>
      </w:pPr>
      <w:r>
        <w:rPr/>
        <w:t>Bill Shirley</w:t>
        <w:tab/>
        <w:tab/>
        <w:tab/>
        <w:tab/>
        <w:tab/>
        <w:t>AIG</w:t>
      </w:r>
    </w:p>
    <w:p>
      <w:pPr>
        <w:pStyle w:val="Normal"/>
        <w:rPr/>
      </w:pPr>
      <w:r>
        <w:rPr/>
        <w:t>Holland West</w:t>
        <w:tab/>
        <w:tab/>
        <w:tab/>
        <w:tab/>
        <w:tab/>
        <w:t>Shearman &amp; Sterling</w:t>
      </w:r>
    </w:p>
    <w:p>
      <w:pPr>
        <w:pStyle w:val="Normal"/>
        <w:rPr/>
      </w:pPr>
      <w:r>
        <w:rPr/>
        <w:t>David Ross</w:t>
        <w:tab/>
        <w:tab/>
        <w:tab/>
        <w:tab/>
        <w:tab/>
        <w:t>Royal Bank of Canada</w:t>
      </w:r>
    </w:p>
    <w:p>
      <w:pPr>
        <w:pStyle w:val="Normal"/>
        <w:rPr/>
      </w:pPr>
      <w:r>
        <w:rPr/>
        <w:t>Shaun Miller</w:t>
        <w:tab/>
        <w:tab/>
        <w:tab/>
        <w:tab/>
        <w:tab/>
        <w:t>CIBC</w:t>
      </w:r>
    </w:p>
    <w:p>
      <w:pPr>
        <w:pStyle w:val="Normal"/>
        <w:rPr/>
      </w:pPr>
      <w:r>
        <w:rPr/>
        <w:t>John Pearson</w:t>
        <w:tab/>
        <w:tab/>
        <w:tab/>
        <w:tab/>
        <w:tab/>
        <w:t>CIBC</w:t>
      </w:r>
    </w:p>
    <w:p>
      <w:pPr>
        <w:pStyle w:val="Normal"/>
        <w:rPr/>
      </w:pPr>
      <w:r>
        <w:rPr/>
        <w:t>Ron Schlumpf</w:t>
        <w:tab/>
        <w:tab/>
        <w:tab/>
        <w:tab/>
        <w:tab/>
        <w:t>CIBC</w:t>
      </w:r>
    </w:p>
    <w:p>
      <w:pPr>
        <w:pStyle w:val="Normal"/>
        <w:rPr/>
      </w:pPr>
      <w:r>
        <w:rPr/>
        <w:t>Richard Metcalfe</w:t>
        <w:tab/>
        <w:tab/>
        <w:tab/>
        <w:tab/>
        <w:tab/>
        <w:t>ISDA</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2000-10-29T17:46:00Z</dcterms:created>
  <dc:creator>Mary Cunningham</dc:creator>
  <dc:description/>
  <dc:language>en-CA</dc:language>
  <cp:lastModifiedBy>Mary Cunningham</cp:lastModifiedBy>
  <cp:lastPrinted>2000-11-13T18:37:00Z</cp:lastPrinted>
  <dcterms:modified xsi:type="dcterms:W3CDTF">2000-11-13T21:24:00Z</dcterms:modified>
  <cp:revision>332</cp:revision>
  <dc:subject/>
  <dc:title/>
</cp:coreProperties>
</file>