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rFonts w:ascii="CG Times" w:hAnsi="CG Times" w:cs="CG Times"/>
          <w:b/>
          <w:sz w:val="28"/>
        </w:rPr>
      </w:pPr>
      <w:r>
        <w:rPr>
          <w:rFonts w:cs="CG Times" w:ascii="CG Times" w:hAnsi="CG Times"/>
          <w:b/>
          <w:sz w:val="28"/>
        </w:rPr>
      </w:r>
    </w:p>
    <w:p>
      <w:pPr>
        <w:pStyle w:val="Normal"/>
        <w:jc w:val="center"/>
        <w:rPr>
          <w:b/>
        </w:rPr>
      </w:pPr>
      <w:r>
        <w:rPr>
          <w:b/>
        </w:rPr>
        <w:t>Blueprint for Reforming Gas-Fired SCE and SDG&amp;E QF Energy Pricing</w:t>
      </w:r>
    </w:p>
    <w:p>
      <w:pPr>
        <w:pStyle w:val="Normal"/>
        <w:jc w:val="center"/>
        <w:rPr>
          <w:b/>
        </w:rPr>
      </w:pPr>
      <w:r>
        <w:rPr>
          <w:b/>
        </w:rPr>
        <w:t>(January 26, 2001 at 2:15 p.m.)</w:t>
      </w:r>
    </w:p>
    <w:p>
      <w:pPr>
        <w:pStyle w:val="Normal"/>
        <w:jc w:val="center"/>
        <w:rPr>
          <w:b/>
        </w:rPr>
      </w:pPr>
      <w:r>
        <w:rPr>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b/>
        </w:rPr>
      </w:pPr>
      <w:r>
        <w:rPr>
          <w:b/>
        </w:rPr>
        <w:t>1.</w:t>
        <w:tab/>
        <w:t>Objective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The objective of this Blueprint is to modify Pub. Util. Code Section 390 to accomplish the following as part of, and contingent upon, a comprehensive program involving all sectors of the electric industry: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pPr>
      <w:r>
        <w:rPr/>
        <w:t>a.</w:t>
        <w:tab/>
        <w:t>To secure the stability of California electricity rates at reasonable levels;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pPr>
      <w:r>
        <w:rPr/>
      </w:r>
    </w:p>
    <w:p>
      <w:pPr>
        <w:pStyle w:val="BodyTextIndent"/>
        <w:widowControl/>
        <w:tabs>
          <w:tab w:val="clear" w:pos="720"/>
          <w:tab w:val="left" w:pos="-144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b.</w:t>
        <w:tab/>
        <w:t>To assure the commercial and operational viability of California’s existing QF generating resources in order to sustain delivery of generation form existing generation facilities;</w:t>
      </w:r>
    </w:p>
    <w:p>
      <w:pPr>
        <w:pStyle w:val="BodyTextIndent"/>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0" w:end="0"/>
        <w:rPr/>
      </w:pPr>
      <w:r>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pPr>
      <w:r>
        <w:rPr/>
        <w:t>c.</w:t>
        <w:tab/>
        <w:t>To facilitate the restoration of the financial health of SCE and to ensure the financial health of SDG&amp;E; and</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pPr>
      <w:r>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pPr>
      <w:r>
        <w:rPr/>
        <w:t>d.</w:t>
        <w:tab/>
        <w:t>To ensure that credit support is in place sufficient to achieve the objectives of the Blueprint.</w:t>
      </w:r>
    </w:p>
    <w:p>
      <w:pPr>
        <w:pStyle w:val="Level1"/>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Level1"/>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2.</w:t>
        <w:tab/>
      </w:r>
      <w:r>
        <w:rPr>
          <w:b/>
        </w:rPr>
        <w:t>Pricing Principles Applicable to All SCE and SDG&amp;E Gas-Fired QFs</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pPr>
      <w:r>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pPr>
      <w:r>
        <w:rPr/>
      </w:r>
    </w:p>
    <w:p>
      <w:pPr>
        <w:pStyle w:val="Normal"/>
        <w:ind w:start="1080" w:end="0"/>
        <w:rPr/>
      </w:pPr>
      <w:r>
        <w:rPr/>
        <w:t>a. Contract capacity provisions in existing contracts shall not be modified.</w:t>
      </w:r>
    </w:p>
    <w:p>
      <w:pPr>
        <w:pStyle w:val="Normal"/>
        <w:ind w:start="1080" w:end="0"/>
        <w:rPr/>
      </w:pPr>
      <w:r>
        <w:rPr/>
      </w:r>
    </w:p>
    <w:p>
      <w:pPr>
        <w:pStyle w:val="Normal"/>
        <w:ind w:start="1080" w:end="0"/>
        <w:rPr/>
      </w:pPr>
      <w:r>
        <w:rPr/>
        <w:t>b. The pricing principles in this Section 2 and the pricing methodologies in Section 3 are in lieu of the CPUC determinations on the issues addressed herein.</w:t>
        <w:br/>
      </w:r>
    </w:p>
    <w:p>
      <w:pPr>
        <w:pStyle w:val="Normal"/>
        <w:ind w:start="1080" w:end="0"/>
        <w:rPr/>
      </w:pPr>
      <w:r>
        <w:rPr/>
        <w:t>c. Time-of-delivery and seasonal capacity payment allocation factors in effect on January 1, 2001 shall remain unchanged.</w:t>
        <w:br/>
      </w:r>
    </w:p>
    <w:p>
      <w:pPr>
        <w:pStyle w:val="Normal"/>
        <w:ind w:start="1080" w:end="0"/>
        <w:rPr/>
      </w:pPr>
      <w:r>
        <w:rPr/>
        <w:t>d. Energy line loss factors at both the transmission and distribution level shall be set at 1.0 unless different numbers are otherwise specifically set forth in a contract. </w:t>
        <w:br/>
      </w:r>
    </w:p>
    <w:p>
      <w:pPr>
        <w:pStyle w:val="Normal"/>
        <w:ind w:start="1080" w:end="0"/>
        <w:rPr/>
      </w:pPr>
      <w:r>
        <w:rPr/>
        <w:t>e.</w:t>
        <w:tab/>
        <w:t>The parties hereto agree that (i) the pricing methodologies set forth herein yield rates of payment to QF s that are just and reasonable, (ii) effectuation of such methodologies will, in certain instances that have been discussed among the affected parties and which are identified herein or in concurrently agreed-to principles, entail the termination or resolution of certain pending disputes and regulatory proceedings, and (iii) any and all of the costs to SCE and SDG&amp;E (each, an “IOU”) associated with the implementation of such pricing methodologies and the termination or resolution of such disputes and proceedings are and should be deemed reasonable for all purposes, including by the CPUC for cost recovery purposes.</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pPr>
      <w:r>
        <w:rPr/>
      </w:r>
    </w:p>
    <w:p>
      <w:pPr>
        <w:pStyle w:val="Normal"/>
        <w:ind w:start="1080" w:end="0"/>
        <w:rPr/>
      </w:pPr>
      <w:r>
        <w:rPr/>
        <w:t>f.</w:t>
        <w:tab/>
        <w:t>Energy payments for all periods prior to the Effective Date shall be as originally posted by SCE and SDG&amp;E in accordance with prior CPUC decisions and SCE SDG&amp;E waives, and will cause to be withdrawn any pending, challenges to such postings.</w:t>
        <w:br/>
      </w:r>
    </w:p>
    <w:p>
      <w:pPr>
        <w:pStyle w:val="Normal"/>
        <w:ind w:start="1080" w:end="0"/>
        <w:rPr/>
      </w:pPr>
      <w:r>
        <w:rPr/>
        <w:t>g.</w:t>
        <w:tab/>
        <w:t>At the election of any gas-fired generator, the principles in this Section 2 and the methodology in Section 3 shall be incorporated promptly into a written amendment to such generator’s power purchase agreement, and payments made by under such agreement shall be deemed prudent and reasonable for all purposes, including by the CPUC for cost recovery purposes.</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2880" w:end="0"/>
        <w:jc w:val="both"/>
        <w:rPr/>
      </w:pPr>
      <w:r>
        <w:rPr/>
      </w:r>
    </w:p>
    <w:p>
      <w:pPr>
        <w:pStyle w:val="Normal"/>
        <w:ind w:start="1080" w:end="0"/>
        <w:rPr/>
      </w:pPr>
      <w:r>
        <w:rPr/>
        <w:t>h.</w:t>
        <w:tab/>
        <w:t>Except as specifically provided for in this Blueprint, all other provisions the existing contracts remain unchanged.</w:t>
      </w:r>
    </w:p>
    <w:p>
      <w:pPr>
        <w:pStyle w:val="Normal"/>
        <w:ind w:start="1080" w:end="0"/>
        <w:rPr/>
      </w:pPr>
      <w:r>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b/>
        </w:rPr>
      </w:pPr>
      <w:r>
        <w:rPr>
          <w:b/>
        </w:rPr>
      </w:r>
    </w:p>
    <w:p>
      <w:pPr>
        <w:pStyle w:val="Normal"/>
        <w:ind w:start="360" w:end="0"/>
        <w:rPr/>
      </w:pPr>
      <w:r>
        <w:rPr>
          <w:b/>
        </w:rPr>
        <w:t>3. </w:t>
      </w:r>
      <w:r>
        <w:rPr>
          <w:b/>
          <w:u w:val="single"/>
        </w:rPr>
        <w:t>Pricing Methodology for Gas-Fired Generators</w:t>
      </w:r>
      <w:r>
        <w:rPr/>
        <w:t> </w:t>
        <w:br/>
      </w:r>
    </w:p>
    <w:p>
      <w:pPr>
        <w:pStyle w:val="Normal"/>
        <w:ind w:start="1080" w:end="0"/>
        <w:rPr/>
      </w:pPr>
      <w:r>
        <w:rPr/>
        <w:t>a. The methodology described in this section is applicable only to QFs that use natural gas as their primary fuel (“gas-fired generators”). </w:t>
        <w:br/>
      </w:r>
    </w:p>
    <w:p>
      <w:pPr>
        <w:pStyle w:val="Normal"/>
        <w:ind w:start="1080" w:end="0"/>
        <w:rPr/>
      </w:pPr>
      <w:r>
        <w:rPr/>
        <w:t>b. The purpose of the methodology applicable to gas-fired generators is to link the prices for energy provided by gas-fired generators to the cost of long-term, firm burner tip gas supplies. </w:t>
        <w:br/>
      </w:r>
    </w:p>
    <w:p>
      <w:pPr>
        <w:pStyle w:val="Normal"/>
        <w:ind w:start="1080" w:end="0"/>
        <w:rPr/>
      </w:pPr>
      <w:r>
        <w:rPr/>
        <w:t xml:space="preserve">c. The methodology set forth in this Section 3 shall be in effect, for each QF, from the date of initial deliveries under the gas purchase arrangement applicable to such QF as set forth in Section 3(e) through the term of such arrangement.  </w:t>
        <w:br/>
      </w:r>
    </w:p>
    <w:p>
      <w:pPr>
        <w:pStyle w:val="Normal"/>
        <w:ind w:start="1080" w:end="0"/>
        <w:rPr/>
      </w:pPr>
      <w:r>
        <w:rPr/>
        <w:t>d Except as provided in Section 3(i) below, the annual average SRAC energy payment for gas-fired generators shall be determined pursuant to the following Energy Pricing Formula, expressed in cents/kWh: </w:t>
        <w:br/>
      </w:r>
    </w:p>
    <w:p>
      <w:pPr>
        <w:pStyle w:val="Normal"/>
        <w:ind w:start="1080" w:end="0"/>
        <w:jc w:val="center"/>
        <w:rPr/>
      </w:pPr>
      <w:r>
        <w:rPr/>
        <w:t>[((9,821 x GP)/10,000) + (0.30 x CPI)] </w:t>
        <w:br/>
      </w:r>
    </w:p>
    <w:p>
      <w:pPr>
        <w:pStyle w:val="Normal"/>
        <w:ind w:start="1080" w:end="0"/>
        <w:rPr/>
      </w:pPr>
      <w:r>
        <w:rPr/>
        <w:t>Where  </w:t>
        <w:br/>
      </w:r>
    </w:p>
    <w:p>
      <w:pPr>
        <w:pStyle w:val="Normal"/>
        <w:ind w:start="2520" w:end="0"/>
        <w:rPr/>
      </w:pPr>
      <w:r>
        <w:rPr/>
        <w:t>1. GP is, for each gas-fired generator, the burnertip price for gas delivered to such generator as set forth in Section 3(e), plus the cost of any credit support required by such generator’s gas supplier to secure performance by such generator over the term of the gas supply arrangement discussed in Section 3(e).</w:t>
        <w:br/>
      </w:r>
    </w:p>
    <w:p>
      <w:pPr>
        <w:pStyle w:val="Normal"/>
        <w:ind w:start="2520" w:end="0"/>
        <w:rPr/>
      </w:pPr>
      <w:r>
        <w:rPr/>
        <w:t>2. Operation and Maintenance payments shall be set at $0.003 per kWh and escalate annually beginning on the first anniversary of the Effective Date and thereafter during the period during which these principles are in force at CPI. </w:t>
        <w:br/>
      </w:r>
    </w:p>
    <w:p>
      <w:pPr>
        <w:pStyle w:val="Normal"/>
        <w:ind w:start="2520" w:end="0"/>
        <w:rPr/>
      </w:pPr>
      <w:r>
        <w:rPr/>
        <w:t>3. CPI shall mean the average California Consumer Price Index. </w:t>
        <w:br/>
        <w:t xml:space="preserve">The gas-generators and seller will comply with reasonable nomination provisions established by the portfolio Manager in accordance with standard industry practice. </w:t>
      </w:r>
    </w:p>
    <w:p>
      <w:pPr>
        <w:pStyle w:val="Normal"/>
        <w:ind w:start="2520" w:end="0"/>
        <w:rPr/>
      </w:pPr>
      <w:r>
        <w:rPr/>
      </w:r>
    </w:p>
    <w:p>
      <w:pPr>
        <w:pStyle w:val="Normal"/>
        <w:ind w:start="1080" w:end="0"/>
        <w:rPr/>
      </w:pPr>
      <w:r>
        <w:rPr/>
        <w:t>e. Within fourteen days of the Effective Date, each IOU and the gas-fired generators interconnected therewith shall select a mutually acceptable entity (“Portfolio Manager”) to implement the provisions of this Section 3(e).  Such Portfolio Manager shall report to the [ appropriate state entity]as such entity shall require.  All of the gas required to meet the power sales obligations of participating gas-fired generators to the purchasing IOU shall be purchased from a diversified portfolio of gas supplies and transportation services (“Portfolio”) providing for delivery of gas on a firm basis to each such generator at the burner tip.  Within ten business days of the selection of the Portfolio Manager, each gas-fired generator shall either (i) inform the Portfolio Manager that such generator elects not to participate in the Portfolio, or (ii) inform the Portfolio Manager that the generator elects to participate in the Portfolio and provide to the Portfolio Manager sufficient information concerning their gas requirements to enable the Portfolio Manager to develop the Portfolio.  Participation in the Portfolio is for a term equal to the lesser of five years or the remaining term of the generator’s power purchase agreement with the IOU and shall apply, at a minimum, to the gas supplies required to meet the generator’s power sales to the IOU.  The Portfolio Manager will analyze the specific requirements of the gas-fired generators, and will undertake the actions necessary to ensure that the Portfolio (1) meets the identified requirements of the gas-fired generators, (2) balances cost, credit and risk considerations in light of state and ratepayer interests, and (3) provides for gas service of a quality and on terms sufficient to support a generation project that received a long-term, secured, non-recourse debt rating from S&amp;P of BBB- or better.  The Portfolio Manager and participating generators shall execute such agreements as are reasonably necessary to effectuate the terms hereof and shall conform to reasonable nomination requirements in accordance with common industry practice.  The Portfolio Manager shall, on or before the first business day of each calendar month, post the Portfolio’s price of gas for the month (“Portfolio Price”), which price shall include all costs payable by the generators for gas service at the burnertip, including all taxes, fees and assessments, the cost of any required credit support for the Portfolio, and the reasonable costs of the Portfolio Manager.  The monthly Portfolio Price shall be the “GP” used in the energy payment formula for participating generators for the relevant month.  “GP” for each gas-fired generator that elects not to participate in the Portfolio shall be the lesser of (i) the Portfolio Price or (ii) the actual out of pocket cost to such generator of procuring gas at the burnertip, including all taxes, fees and assessments.  Notwithstanding the foregoing sentence, if a non-participating generator is reasonably constrained from participating in the Portfolio as a result of existing contractual obligations, operating circumstances or other valid reasons (as determined by the Auditor, as defined below, in consultation with the generator and the Portfolio Manager), “GP” for such generator shall be the actual out of pocket cost to such generator of procuring gas at the burnertip, including all taxes, fees and assessments, but only so long as such generator enters into a gas purchase arrangement for the maximum duration reasonably possible (as approved by the Auditor).</w:t>
      </w:r>
    </w:p>
    <w:p>
      <w:pPr>
        <w:pStyle w:val="Normal"/>
        <w:ind w:start="1080" w:end="0"/>
        <w:rPr/>
      </w:pPr>
      <w:r>
        <w:rPr/>
      </w:r>
    </w:p>
    <w:p>
      <w:pPr>
        <w:pStyle w:val="Normal"/>
        <w:ind w:start="1080" w:end="0"/>
        <w:rPr/>
      </w:pPr>
      <w:r>
        <w:rPr/>
        <w:t>f. Within ten business days of the conclusion of each month, each non-participating generator shall provide to an auditor selected by the mutual agreement of the IOU and the non-participating generators (“Auditor”) an invoice for its total gas costs for that month, an accounting of the energy payments owed to such generator as provided for above, and such information as is reasonably necessary confirm the foregoing.  The Auditor shall aggregate all invoices of the non-participating generators and present, by fifteenth day of each month, a single invoice to the IOU for payment.  On or before the last day of each month, the IOU shall remit payment to the Auditor who shall in turn, immediately distribute payment to the individual generators in the amounts owed each such generator.</w:t>
      </w:r>
    </w:p>
    <w:p>
      <w:pPr>
        <w:pStyle w:val="Normal"/>
        <w:ind w:start="1080" w:end="0"/>
        <w:rPr/>
      </w:pPr>
      <w:r>
        <w:rPr/>
      </w:r>
    </w:p>
    <w:p>
      <w:pPr>
        <w:pStyle w:val="Normal"/>
        <w:ind w:start="1080" w:end="0"/>
        <w:rPr/>
      </w:pPr>
      <w:r>
        <w:rPr/>
        <w:t>g. Prior the time at which the “GP” has first been established for a given gas-fired generator in accordance with this Section 3, energy payments to such generator shall be made in accordance with the energy pricing methodology adopted in CPUC Decision 96</w:t>
        <w:noBreakHyphen/>
        <w:t>12</w:t>
        <w:noBreakHyphen/>
        <w:t>028, with the same terms and prices as such methodology was implemented on January 1, 2001.</w:t>
      </w:r>
    </w:p>
    <w:p>
      <w:pPr>
        <w:pStyle w:val="Normal"/>
        <w:ind w:start="1080" w:end="0"/>
        <w:rPr/>
      </w:pPr>
      <w:r>
        <w:rPr/>
      </w:r>
    </w:p>
    <w:p>
      <w:pPr>
        <w:pStyle w:val="Normal"/>
        <w:ind w:start="1080" w:end="0"/>
        <w:rPr/>
      </w:pPr>
      <w:r>
        <w:rPr/>
        <w:t>h. Except as set forth in Section 3(i), in the event that a gas-fired generator has a contract with an IOU that has been amended such that energy payments to such generator are not based entirely upon the methodology approved by the CPUC from time to time, such generator shall have the option of conforming its contract to the methodology set forth in this Section 3 or of remaining under the terms of its existing contract.</w:t>
        <w:br/>
      </w:r>
    </w:p>
    <w:p>
      <w:pPr>
        <w:pStyle w:val="Normal"/>
        <w:ind w:start="1080" w:end="0"/>
        <w:rPr>
          <w:i/>
          <w:i/>
        </w:rPr>
      </w:pPr>
      <w:r>
        <w:rPr>
          <w:i/>
        </w:rPr>
        <w:t xml:space="preserve">i. [The CCC has no position on the provisions applicable to Kern River Cogeneration Company, Sycamore Cogeneration Company, Midway Sunset Cogeneration Company and Watson Cogeneration Company] </w:t>
      </w:r>
    </w:p>
    <w:p>
      <w:pPr>
        <w:pStyle w:val="Normal"/>
        <w:ind w:start="1080" w:end="0"/>
        <w:rPr>
          <w:i/>
          <w:i/>
        </w:rPr>
      </w:pPr>
      <w:r>
        <w:rPr>
          <w:i/>
        </w:rPr>
      </w:r>
    </w:p>
    <w:p>
      <w:pPr>
        <w:pStyle w:val="Normal"/>
        <w:ind w:start="1080" w:end="0"/>
        <w:rPr/>
      </w:pPr>
      <w:r>
        <w:rPr/>
        <w:t>j. The parties shall support legislative initiatives for enhancing the creditworthiness of the revised contracts.  California state entities or other entities may secure, at the option of the QF, gas supplies for QF resources and provide gas pursuant to bilateral contracts. </w:t>
        <w:br/>
      </w:r>
    </w:p>
    <w:p>
      <w:pPr>
        <w:pStyle w:val="Normal"/>
        <w:ind w:start="1080" w:end="0"/>
        <w:rPr/>
      </w:pPr>
      <w:r>
        <w:rPr/>
        <w:t>k. Except as expressly provided herein, nothing in this Blueprint shall be construed to require a QF party to divulge proprietary cost or price information, or to provide access, either physically, financially or contractually, to actual gas cost acquisition arrangements. </w:t>
        <w:br/>
      </w:r>
      <w:r>
        <w:br w:type="page"/>
      </w:r>
    </w:p>
    <w:p>
      <w:pPr>
        <w:pStyle w:val="Normal"/>
        <w:ind w:start="1080" w:end="0"/>
        <w:rPr/>
      </w:pPr>
      <w:r>
        <w:rPr/>
        <w:t>l. The ability of gas-fired generators to exercise the one-time, irrevocable option to elect Power Exchange-based SRAC pricing pursuant to Pub. Util. Code Section 390(c) is terminated. </w:t>
        <w:br/>
        <w:br/>
        <w:t>m. Unless otherwise agreed by the parties hereto, at the expiration of the gas purchase arrangement and associated energy pricing methodology as described above, energy payments to gas-fired generators shall be in accordance with the energy pricing methodology adopted in CPUC Decision 96</w:t>
        <w:noBreakHyphen/>
        <w:t>12</w:t>
        <w:noBreakHyphen/>
        <w:t>028, with the same terms and prices as such methodology was implemented on January 1, 2001.</w:t>
        <w:b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pPr>
      <w:r>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b/>
        </w:rPr>
      </w:pPr>
      <w:r>
        <w:rPr>
          <w:b/>
        </w:rPr>
        <w:t>5.</w:t>
        <w:tab/>
        <w:t>Best Efforts and Mutual Cooperation.</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pPr>
      <w:r>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440" w:end="0"/>
        <w:jc w:val="both"/>
        <w:rPr/>
      </w:pPr>
      <w:r>
        <w:rPr/>
        <w:t>Each IOU and the CCC shall take all good faith actions to assure that these principles are fully adopted and supported by all required state and federal regulatory, legislative and executive entities.</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pPr>
      <w:r>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b/>
        </w:rPr>
      </w:pPr>
      <w:r>
        <w:rPr>
          <w:b/>
        </w:rPr>
        <w:t>6.</w:t>
        <w:tab/>
        <w:t>Effective Date</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pPr>
      <w:r>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440" w:end="0"/>
        <w:jc w:val="both"/>
        <w:rPr/>
      </w:pPr>
      <w:r>
        <w:rPr/>
        <w:t>February 1, 2001 is the Effective Date.</w:t>
      </w:r>
    </w:p>
    <w:p>
      <w:pPr>
        <w:pStyle w:val="Normal"/>
        <w:rPr/>
      </w:pPr>
      <w:r>
        <w:rPr/>
      </w:r>
    </w:p>
    <w:p>
      <w:pPr>
        <w:pStyle w:val="Text"/>
        <w:spacing w:before="0" w:after="240"/>
        <w:rPr/>
      </w:pPr>
      <w:r>
        <w:rPr/>
      </w:r>
    </w:p>
    <w:sectPr>
      <w:footerReference w:type="default" r:id="rId2"/>
      <w:footerReference w:type="first" r:id="rId3"/>
      <w:type w:val="nextPage"/>
      <w:pgSz w:w="12240" w:h="15840"/>
      <w:pgMar w:left="1440" w:right="1440" w:gutter="0" w:header="0" w:top="1440" w:footer="85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r>
      <mc:AlternateContent>
        <mc:Choice Requires="wps">
          <w:drawing>
            <wp:anchor behindDoc="0" distT="0" distB="0" distL="0" distR="0" simplePos="0" locked="0" layoutInCell="0" allowOverlap="1" relativeHeight="6">
              <wp:simplePos x="0" y="0"/>
              <wp:positionH relativeFrom="page">
                <wp:posOffset>915035</wp:posOffset>
              </wp:positionH>
              <wp:positionV relativeFrom="page">
                <wp:align>bottom</wp:align>
              </wp:positionV>
              <wp:extent cx="2926715" cy="548640"/>
              <wp:effectExtent l="0" t="0" r="0" b="0"/>
              <wp:wrapSquare wrapText="bothSides"/>
              <wp:docPr id="1" name="Frame2"/>
              <a:graphic xmlns:a="http://schemas.openxmlformats.org/drawingml/2006/main">
                <a:graphicData uri="http://schemas.microsoft.com/office/word/2010/wordprocessingShape">
                  <wps:wsp>
                    <wps:cNvSpPr txBox="1"/>
                    <wps:spPr>
                      <a:xfrm>
                        <a:off x="0" y="0"/>
                        <a:ext cx="2926715" cy="548640"/>
                      </a:xfrm>
                      <a:prstGeom prst="rect"/>
                      <a:solidFill>
                        <a:srgbClr val="FFFFFF">
                          <a:alpha val="0"/>
                        </a:srgbClr>
                      </a:solidFill>
                    </wps:spPr>
                    <wps:txbx>
                      <w:txbxContent>
                        <w:p>
                          <w:pPr>
                            <w:pStyle w:val="DateSTWC"/>
                            <w:rPr/>
                          </w:pPr>
                          <w:r>
                            <w:rPr/>
                            <w:fldChar w:fldCharType="begin"/>
                          </w:r>
                          <w:r>
                            <w:rPr/>
                            <w:instrText xml:space="preserve"> IF  "" ""</w:instrText>
                          </w:r>
                          <w:r>
                            <w:rPr/>
                            <w:fldChar w:fldCharType="separate"/>
                          </w:r>
                          <w:r>
                            <w:rPr/>
                          </w:r>
                          <w:r>
                            <w:rPr/>
                            <w:fldChar w:fldCharType="end"/>
                          </w:r>
                        </w:p>
                        <w:p>
                          <w:pPr>
                            <w:pStyle w:val="IDSTWC"/>
                            <w:rPr/>
                          </w:pPr>
                          <w:r>
                            <w:rPr/>
                            <w:fldChar w:fldCharType="begin"/>
                          </w:r>
                          <w:r>
                            <w:rPr/>
                            <w:instrText xml:space="preserve"> KEYWORDS </w:instrText>
                          </w:r>
                          <w:r>
                            <w:rPr/>
                            <w:fldChar w:fldCharType="separate"/>
                          </w:r>
                          <w:r>
                            <w:rPr/>
                          </w:r>
                          <w:r>
                            <w:rPr/>
                            <w:fldChar w:fldCharType="end"/>
                          </w:r>
                          <w:r>
                            <w:rPr/>
                            <w:t xml:space="preserve">  </w:t>
                          </w:r>
                          <w:r>
                            <w:rPr/>
                            <w:t>[</w:t>
                          </w:r>
                          <w:r>
                            <w:rPr/>
                            <w:fldChar w:fldCharType="begin"/>
                          </w:r>
                          <w:r>
                            <w:rPr/>
                            <w:instrText xml:space="preserve"> IF  "" ""</w:instrText>
                          </w:r>
                          <w:r>
                            <w:rPr/>
                            <w:fldChar w:fldCharType="separate"/>
                          </w:r>
                          <w:r>
                            <w:rPr/>
                          </w:r>
                          <w:r>
                            <w:rPr/>
                            <w:fldChar w:fldCharType="end"/>
                          </w:r>
                          <w:r>
                            <w:rPr/>
                            <w:t>]</w:t>
                          </w:r>
                        </w:p>
                        <w:p>
                          <w:pPr>
                            <w:pStyle w:val="LongDocNameWC"/>
                            <w:rPr/>
                          </w:pPr>
                          <w:r>
                            <w:rPr/>
                            <w:fldChar w:fldCharType="begin"/>
                          </w:r>
                          <w:r>
                            <w:rPr/>
                            <w:instrText xml:space="preserve"> DOCPROPERTY "DOCSDescription"</w:instrText>
                          </w:r>
                          <w:r>
                            <w:rPr/>
                            <w:fldChar w:fldCharType="separate"/>
                          </w:r>
                          <w:r>
                            <w:rPr/>
                            <w:t xml:space="preserve"> </w:t>
                          </w:r>
                          <w:r>
                            <w:rPr/>
                            <w:fldChar w:fldCharType="end"/>
                          </w:r>
                          <w:r>
                            <w:rPr/>
                            <w:t xml:space="preserve"> </w:t>
                          </w:r>
                          <w:r>
                            <w:rPr/>
                            <w:fldChar w:fldCharType="begin"/>
                          </w:r>
                          <w:r>
                            <w:rPr/>
                            <w:instrText xml:space="preserve"> DOCPROPERTY "Client Matter Number"</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yle="position:absolute;rotation:-0;width:230.45pt;height:43.2pt;mso-wrap-distance-left:0pt;mso-wrap-distance-right:0pt;mso-wrap-distance-top:0pt;mso-wrap-distance-bottom:0pt;margin-top:748.8pt;mso-position-vertical:bottom;mso-position-vertical-relative:page;margin-left:72.05pt;mso-position-horizontal-relative:page">
              <v:fill opacity="0f"/>
              <v:textbox inset="0in,0in,0in,0in">
                <w:txbxContent>
                  <w:p>
                    <w:pPr>
                      <w:pStyle w:val="DateSTWC"/>
                      <w:rPr/>
                    </w:pPr>
                    <w:r>
                      <w:rPr/>
                      <w:fldChar w:fldCharType="begin"/>
                    </w:r>
                    <w:r>
                      <w:rPr/>
                      <w:instrText xml:space="preserve"> IF  "" ""</w:instrText>
                    </w:r>
                    <w:r>
                      <w:rPr/>
                      <w:fldChar w:fldCharType="separate"/>
                    </w:r>
                    <w:r>
                      <w:rPr/>
                    </w:r>
                    <w:r>
                      <w:rPr/>
                      <w:fldChar w:fldCharType="end"/>
                    </w:r>
                  </w:p>
                  <w:p>
                    <w:pPr>
                      <w:pStyle w:val="IDSTWC"/>
                      <w:rPr/>
                    </w:pPr>
                    <w:r>
                      <w:rPr/>
                      <w:fldChar w:fldCharType="begin"/>
                    </w:r>
                    <w:r>
                      <w:rPr/>
                      <w:instrText xml:space="preserve"> KEYWORDS </w:instrText>
                    </w:r>
                    <w:r>
                      <w:rPr/>
                      <w:fldChar w:fldCharType="separate"/>
                    </w:r>
                    <w:r>
                      <w:rPr/>
                    </w:r>
                    <w:r>
                      <w:rPr/>
                      <w:fldChar w:fldCharType="end"/>
                    </w:r>
                    <w:r>
                      <w:rPr/>
                      <w:t xml:space="preserve">  </w:t>
                    </w:r>
                    <w:r>
                      <w:rPr/>
                      <w:t>[</w:t>
                    </w:r>
                    <w:r>
                      <w:rPr/>
                      <w:fldChar w:fldCharType="begin"/>
                    </w:r>
                    <w:r>
                      <w:rPr/>
                      <w:instrText xml:space="preserve"> IF  "" ""</w:instrText>
                    </w:r>
                    <w:r>
                      <w:rPr/>
                      <w:fldChar w:fldCharType="separate"/>
                    </w:r>
                    <w:r>
                      <w:rPr/>
                    </w:r>
                    <w:r>
                      <w:rPr/>
                      <w:fldChar w:fldCharType="end"/>
                    </w:r>
                    <w:r>
                      <w:rPr/>
                      <w:t>]</w:t>
                    </w:r>
                  </w:p>
                  <w:p>
                    <w:pPr>
                      <w:pStyle w:val="LongDocNameWC"/>
                      <w:rPr/>
                    </w:pPr>
                    <w:r>
                      <w:rPr/>
                      <w:fldChar w:fldCharType="begin"/>
                    </w:r>
                    <w:r>
                      <w:rPr/>
                      <w:instrText xml:space="preserve"> DOCPROPERTY "DOCSDescription"</w:instrText>
                    </w:r>
                    <w:r>
                      <w:rPr/>
                      <w:fldChar w:fldCharType="separate"/>
                    </w:r>
                    <w:r>
                      <w:rPr/>
                      <w:t xml:space="preserve"> </w:t>
                    </w:r>
                    <w:r>
                      <w:rPr/>
                      <w:fldChar w:fldCharType="end"/>
                    </w:r>
                    <w:r>
                      <w:rPr/>
                      <w:t xml:space="preserve"> </w:t>
                    </w:r>
                    <w:r>
                      <w:rPr/>
                      <w:fldChar w:fldCharType="begin"/>
                    </w:r>
                    <w:r>
                      <w:rPr/>
                      <w:instrText xml:space="preserve"> DOCPROPERTY "Client Matter Number"</w:instrText>
                    </w:r>
                    <w:r>
                      <w:rPr/>
                      <w:fldChar w:fldCharType="separate"/>
                    </w:r>
                    <w:r>
                      <w:rPr/>
                    </w:r>
                    <w: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align>bottom</wp:align>
              </wp:positionV>
              <wp:extent cx="2926715" cy="548640"/>
              <wp:effectExtent l="0" t="0" r="0" b="0"/>
              <wp:wrapSquare wrapText="bothSides"/>
              <wp:docPr id="2" name="Frame1"/>
              <a:graphic xmlns:a="http://schemas.openxmlformats.org/drawingml/2006/main">
                <a:graphicData uri="http://schemas.microsoft.com/office/word/2010/wordprocessingShape">
                  <wps:wsp>
                    <wps:cNvSpPr txBox="1"/>
                    <wps:spPr>
                      <a:xfrm>
                        <a:off x="0" y="0"/>
                        <a:ext cx="2926715" cy="548640"/>
                      </a:xfrm>
                      <a:prstGeom prst="rect"/>
                      <a:solidFill>
                        <a:srgbClr val="FFFFFF">
                          <a:alpha val="0"/>
                        </a:srgbClr>
                      </a:solidFill>
                    </wps:spPr>
                    <wps:txbx>
                      <w:txbxContent>
                        <w:p>
                          <w:pPr>
                            <w:pStyle w:val="DateSTWC"/>
                            <w:rPr/>
                          </w:pPr>
                          <w:r>
                            <w:rPr/>
                            <w:fldChar w:fldCharType="begin"/>
                          </w:r>
                          <w:r>
                            <w:rPr/>
                            <w:instrText xml:space="preserve"> IF  "" ""</w:instrText>
                          </w:r>
                          <w:r>
                            <w:rPr/>
                            <w:fldChar w:fldCharType="separate"/>
                          </w:r>
                          <w:r>
                            <w:rPr/>
                          </w:r>
                          <w:r>
                            <w:rPr/>
                            <w:fldChar w:fldCharType="end"/>
                          </w:r>
                        </w:p>
                        <w:p>
                          <w:pPr>
                            <w:pStyle w:val="IDSTWC"/>
                            <w:rPr/>
                          </w:pPr>
                          <w:r>
                            <w:rPr/>
                            <w:fldChar w:fldCharType="begin"/>
                          </w:r>
                          <w:r>
                            <w:rPr/>
                            <w:instrText xml:space="preserve"> KEYWORDS </w:instrText>
                          </w:r>
                          <w:r>
                            <w:rPr/>
                            <w:fldChar w:fldCharType="separate"/>
                          </w:r>
                          <w:r>
                            <w:rPr/>
                          </w:r>
                          <w:r>
                            <w:rPr/>
                            <w:fldChar w:fldCharType="end"/>
                          </w:r>
                          <w:r>
                            <w:rPr/>
                            <w:t xml:space="preserve">  </w:t>
                          </w:r>
                          <w:r>
                            <w:rPr/>
                            <w:fldChar w:fldCharType="begin"/>
                          </w:r>
                          <w:r>
                            <w:rPr/>
                            <w:instrText xml:space="preserve"> IF  "" ""</w:instrText>
                          </w:r>
                          <w:r>
                            <w:rPr/>
                            <w:fldChar w:fldCharType="separate"/>
                          </w:r>
                          <w:r>
                            <w:rPr/>
                          </w:r>
                          <w:r>
                            <w:rPr/>
                            <w:fldChar w:fldCharType="end"/>
                          </w:r>
                          <w:r>
                            <w:rPr/>
                            <w:fldChar w:fldCharType="begin"/>
                          </w:r>
                          <w:r>
                            <w:rPr/>
                            <w:instrText xml:space="preserve"> IF  "" ""</w:instrText>
                          </w:r>
                          <w:r>
                            <w:rPr/>
                            <w:fldChar w:fldCharType="separate"/>
                          </w:r>
                          <w:r>
                            <w:rPr/>
                          </w:r>
                          <w:r>
                            <w:rPr/>
                            <w:fldChar w:fldCharType="end"/>
                          </w:r>
                          <w:r>
                            <w:rPr/>
                            <w:t xml:space="preserve"> </w:t>
                          </w:r>
                        </w:p>
                        <w:p>
                          <w:pPr>
                            <w:pStyle w:val="LongDocNameWC"/>
                            <w:rPr/>
                          </w:pPr>
                          <w:r>
                            <w:rPr/>
                            <w:fldChar w:fldCharType="begin"/>
                          </w:r>
                          <w:r>
                            <w:rPr/>
                            <w:instrText xml:space="preserve"> DOCPROPERTY "DOCSDescription"</w:instrText>
                          </w:r>
                          <w:r>
                            <w:rPr/>
                            <w:fldChar w:fldCharType="separate"/>
                          </w:r>
                          <w:r>
                            <w:rPr/>
                            <w:t xml:space="preserve"> </w:t>
                          </w:r>
                          <w:r>
                            <w:rPr/>
                            <w:fldChar w:fldCharType="end"/>
                          </w:r>
                          <w:r>
                            <w:rPr/>
                            <w:t xml:space="preserve"> </w:t>
                          </w:r>
                          <w:r>
                            <w:rPr/>
                            <w:fldChar w:fldCharType="begin"/>
                          </w:r>
                          <w:r>
                            <w:rPr/>
                            <w:instrText xml:space="preserve"> DOCPROPERTY "Client Matter Number"</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yle="position:absolute;rotation:-0;width:230.45pt;height:43.2pt;mso-wrap-distance-left:0pt;mso-wrap-distance-right:0pt;mso-wrap-distance-top:0pt;mso-wrap-distance-bottom:0pt;margin-top:748.8pt;mso-position-vertical:bottom;mso-position-vertical-relative:page;margin-left:72.05pt;mso-position-horizontal-relative:page">
              <v:fill opacity="0f"/>
              <v:textbox inset="0in,0in,0in,0in">
                <w:txbxContent>
                  <w:p>
                    <w:pPr>
                      <w:pStyle w:val="DateSTWC"/>
                      <w:rPr/>
                    </w:pPr>
                    <w:r>
                      <w:rPr/>
                      <w:fldChar w:fldCharType="begin"/>
                    </w:r>
                    <w:r>
                      <w:rPr/>
                      <w:instrText xml:space="preserve"> IF  "" ""</w:instrText>
                    </w:r>
                    <w:r>
                      <w:rPr/>
                      <w:fldChar w:fldCharType="separate"/>
                    </w:r>
                    <w:r>
                      <w:rPr/>
                    </w:r>
                    <w:r>
                      <w:rPr/>
                      <w:fldChar w:fldCharType="end"/>
                    </w:r>
                  </w:p>
                  <w:p>
                    <w:pPr>
                      <w:pStyle w:val="IDSTWC"/>
                      <w:rPr/>
                    </w:pPr>
                    <w:r>
                      <w:rPr/>
                      <w:fldChar w:fldCharType="begin"/>
                    </w:r>
                    <w:r>
                      <w:rPr/>
                      <w:instrText xml:space="preserve"> KEYWORDS </w:instrText>
                    </w:r>
                    <w:r>
                      <w:rPr/>
                      <w:fldChar w:fldCharType="separate"/>
                    </w:r>
                    <w:r>
                      <w:rPr/>
                    </w:r>
                    <w:r>
                      <w:rPr/>
                      <w:fldChar w:fldCharType="end"/>
                    </w:r>
                    <w:r>
                      <w:rPr/>
                      <w:t xml:space="preserve">  </w:t>
                    </w:r>
                    <w:r>
                      <w:rPr/>
                      <w:fldChar w:fldCharType="begin"/>
                    </w:r>
                    <w:r>
                      <w:rPr/>
                      <w:instrText xml:space="preserve"> IF  "" ""</w:instrText>
                    </w:r>
                    <w:r>
                      <w:rPr/>
                      <w:fldChar w:fldCharType="separate"/>
                    </w:r>
                    <w:r>
                      <w:rPr/>
                    </w:r>
                    <w:r>
                      <w:rPr/>
                      <w:fldChar w:fldCharType="end"/>
                    </w:r>
                    <w:r>
                      <w:rPr/>
                      <w:fldChar w:fldCharType="begin"/>
                    </w:r>
                    <w:r>
                      <w:rPr/>
                      <w:instrText xml:space="preserve"> IF  "" ""</w:instrText>
                    </w:r>
                    <w:r>
                      <w:rPr/>
                      <w:fldChar w:fldCharType="separate"/>
                    </w:r>
                    <w:r>
                      <w:rPr/>
                    </w:r>
                    <w:r>
                      <w:rPr/>
                      <w:fldChar w:fldCharType="end"/>
                    </w:r>
                    <w:r>
                      <w:rPr/>
                      <w:t xml:space="preserve"> </w:t>
                    </w:r>
                  </w:p>
                  <w:p>
                    <w:pPr>
                      <w:pStyle w:val="LongDocNameWC"/>
                      <w:rPr/>
                    </w:pPr>
                    <w:r>
                      <w:rPr/>
                      <w:fldChar w:fldCharType="begin"/>
                    </w:r>
                    <w:r>
                      <w:rPr/>
                      <w:instrText xml:space="preserve"> DOCPROPERTY "DOCSDescription"</w:instrText>
                    </w:r>
                    <w:r>
                      <w:rPr/>
                      <w:fldChar w:fldCharType="separate"/>
                    </w:r>
                    <w:r>
                      <w:rPr/>
                      <w:t xml:space="preserve"> </w:t>
                    </w:r>
                    <w:r>
                      <w:rPr/>
                      <w:fldChar w:fldCharType="end"/>
                    </w:r>
                    <w:r>
                      <w:rPr/>
                      <w:t xml:space="preserve"> </w:t>
                    </w:r>
                    <w:r>
                      <w:rPr/>
                      <w:fldChar w:fldCharType="begin"/>
                    </w:r>
                    <w:r>
                      <w:rPr/>
                      <w:instrText xml:space="preserve"> DOCPROPERTY "Client Matter Number"</w:instrText>
                    </w:r>
                    <w:r>
                      <w:rPr/>
                      <w:fldChar w:fldCharType="separate"/>
                    </w:r>
                    <w:r>
                      <w:rPr/>
                    </w:r>
                    <w: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character" w:styleId="DefaultParagraphFont">
    <w:name w:val="Default Paragraph Font"/>
    <w:qFormat/>
    <w:rPr/>
  </w:style>
  <w:style w:type="character" w:styleId="PageNumber">
    <w:name w:val="page number"/>
    <w:basedOn w:val="DefaultParagraphFont"/>
    <w:rPr/>
  </w:style>
  <w:style w:type="character" w:styleId="EndnoteCharacters">
    <w:name w:val="Endnote Characters"/>
    <w:qFormat/>
    <w:rPr>
      <w:color w:val="auto"/>
      <w:spacing w:val="0"/>
      <w:kern w:val="0"/>
      <w:sz w:val="24"/>
      <w:u w:val="none"/>
      <w:vertAlign w:val="superscript"/>
    </w:rPr>
  </w:style>
  <w:style w:type="character" w:styleId="FootnoteCharacters">
    <w:name w:val="Footnote Characters"/>
    <w:qFormat/>
    <w:rPr>
      <w:color w:val="auto"/>
      <w:spacing w:val="0"/>
      <w:kern w:val="0"/>
      <w:sz w:val="24"/>
      <w:u w:val="none"/>
      <w:vertAlign w:val="superscript"/>
    </w:rPr>
  </w:style>
  <w:style w:type="character" w:styleId="CharBaseArial">
    <w:name w:val="CharBaseArial"/>
    <w:qFormat/>
    <w:rPr>
      <w:rFonts w:ascii="Arial" w:hAnsi="Arial" w:cs="Arial"/>
      <w:sz w:val="24"/>
      <w:lang w:val="en-US"/>
    </w:rPr>
  </w:style>
  <w:style w:type="character" w:styleId="CharBaseTimes">
    <w:name w:val="CharBaseTimes"/>
    <w:qFormat/>
    <w:rPr>
      <w:rFonts w:ascii="Times New Roman" w:hAnsi="Times New Roman" w:cs="Times New Roman"/>
      <w:sz w:val="24"/>
      <w:lang w:val="en-US"/>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aseTimes">
    <w:name w:val="BaseTimes"/>
    <w:qFormat/>
    <w:pPr>
      <w:widowControl/>
      <w:bidi w:val="0"/>
    </w:pPr>
    <w:rPr>
      <w:rFonts w:ascii="Times New Roman" w:hAnsi="Times New Roman" w:eastAsia="Times New Roman" w:cs="Times New Roman"/>
      <w:color w:val="auto"/>
      <w:sz w:val="24"/>
      <w:szCs w:val="20"/>
      <w:lang w:val="en-US" w:eastAsia="zh-CN" w:bidi="hi-IN"/>
    </w:rPr>
  </w:style>
  <w:style w:type="paragraph" w:styleId="FootnoteText">
    <w:name w:val="footnote text"/>
    <w:basedOn w:val="BaseTimes"/>
    <w:pPr>
      <w:tabs>
        <w:tab w:val="clear" w:pos="720"/>
        <w:tab w:val="left" w:pos="432" w:leader="none"/>
      </w:tabs>
      <w:spacing w:before="0" w:after="240"/>
      <w:ind w:hanging="432" w:start="432" w:end="0"/>
    </w:pPr>
    <w:rPr/>
  </w:style>
  <w:style w:type="paragraph" w:styleId="DraftLineWC">
    <w:name w:val="DraftLineW&amp;C"/>
    <w:basedOn w:val="BaseTimes"/>
    <w:qFormat/>
    <w:pPr>
      <w:spacing w:before="0" w:after="240"/>
      <w:ind w:firstLine="720" w:start="0" w:end="0"/>
      <w:jc w:val="end"/>
    </w:pPr>
    <w:rPr>
      <w:sz w:val="20"/>
    </w:rPr>
  </w:style>
  <w:style w:type="paragraph" w:styleId="EndnoteText">
    <w:name w:val="endnote text"/>
    <w:basedOn w:val="BaseTimes"/>
    <w:pPr>
      <w:tabs>
        <w:tab w:val="clear" w:pos="720"/>
        <w:tab w:val="left" w:pos="432" w:leader="none"/>
      </w:tabs>
      <w:spacing w:before="0" w:after="240"/>
      <w:ind w:hanging="432" w:start="432" w:end="0"/>
    </w:pPr>
    <w:rPr/>
  </w:style>
  <w:style w:type="paragraph" w:styleId="Index1">
    <w:name w:val="index 1"/>
    <w:basedOn w:val="Normal"/>
    <w:next w:val="Normal"/>
    <w:pPr>
      <w:tabs>
        <w:tab w:val="clear" w:pos="720"/>
        <w:tab w:val="right" w:pos="9360" w:leader="dot"/>
      </w:tabs>
      <w:ind w:hanging="240" w:start="240" w:end="0"/>
    </w:pPr>
    <w:rPr/>
  </w:style>
  <w:style w:type="paragraph" w:styleId="Text">
    <w:name w:val="Text"/>
    <w:basedOn w:val="BaseTimes"/>
    <w:qFormat/>
    <w:pPr>
      <w:spacing w:before="0" w:after="240"/>
      <w:ind w:firstLine="1440" w:start="0" w:end="0"/>
    </w:pPr>
    <w:rPr/>
  </w:style>
  <w:style w:type="paragraph" w:styleId="DateStampWC">
    <w:name w:val="DateStampW&amp;C"/>
    <w:basedOn w:val="Normal"/>
    <w:qFormat/>
    <w:pPr>
      <w:widowControl w:val="false"/>
      <w:ind w:firstLine="1440" w:start="0" w:end="0"/>
    </w:pPr>
    <w:rPr>
      <w:b/>
      <w:sz w:val="12"/>
      <w:lang w:val="en-CA" w:eastAsia="en-CA"/>
    </w:rPr>
  </w:style>
  <w:style w:type="paragraph" w:styleId="DateSTWC">
    <w:name w:val="DateSTW&amp;C"/>
    <w:basedOn w:val="BaseTimes"/>
    <w:qFormat/>
    <w:pPr/>
    <w:rPr>
      <w:sz w:val="12"/>
      <w:lang w:val="en-CA" w:eastAsia="en-CA"/>
    </w:rPr>
  </w:style>
  <w:style w:type="paragraph" w:styleId="TOC1">
    <w:name w:val="toc 1"/>
    <w:basedOn w:val="BaseTimes"/>
    <w:pPr>
      <w:keepLines/>
      <w:tabs>
        <w:tab w:val="clear" w:pos="720"/>
        <w:tab w:val="right" w:pos="9360" w:leader="dot"/>
      </w:tabs>
      <w:spacing w:before="240" w:after="120"/>
      <w:ind w:hanging="720" w:start="720" w:end="576"/>
    </w:pPr>
    <w:rPr/>
  </w:style>
  <w:style w:type="paragraph" w:styleId="TOC2">
    <w:name w:val="toc 2"/>
    <w:basedOn w:val="BaseTimes"/>
    <w:pPr>
      <w:tabs>
        <w:tab w:val="clear" w:pos="720"/>
        <w:tab w:val="right" w:pos="9360" w:leader="dot"/>
      </w:tabs>
      <w:ind w:hanging="720" w:start="1440" w:end="576"/>
    </w:pPr>
    <w:rPr/>
  </w:style>
  <w:style w:type="paragraph" w:styleId="TOC3">
    <w:name w:val="toc 3"/>
    <w:basedOn w:val="BaseTimes"/>
    <w:pPr>
      <w:keepLines/>
      <w:tabs>
        <w:tab w:val="clear" w:pos="720"/>
        <w:tab w:val="right" w:pos="9360" w:leader="dot"/>
      </w:tabs>
      <w:ind w:hanging="720" w:start="2160" w:end="576"/>
    </w:pPr>
    <w:rPr/>
  </w:style>
  <w:style w:type="paragraph" w:styleId="TOC4">
    <w:name w:val="toc 4"/>
    <w:basedOn w:val="BaseTimes"/>
    <w:pPr>
      <w:keepLines/>
      <w:tabs>
        <w:tab w:val="clear" w:pos="720"/>
        <w:tab w:val="right" w:pos="9360" w:leader="dot"/>
      </w:tabs>
      <w:ind w:hanging="720" w:start="2880" w:end="576"/>
    </w:pPr>
    <w:rPr/>
  </w:style>
  <w:style w:type="paragraph" w:styleId="TOC11">
    <w:name w:val="TOC  1"/>
    <w:basedOn w:val="Text"/>
    <w:qFormat/>
    <w:pPr>
      <w:keepNext w:val="true"/>
      <w:keepLines/>
      <w:tabs>
        <w:tab w:val="clear" w:pos="720"/>
        <w:tab w:val="right" w:pos="9360" w:leader="dot"/>
      </w:tabs>
      <w:spacing w:before="240" w:after="120"/>
      <w:ind w:hanging="720" w:start="720" w:end="576"/>
    </w:pPr>
    <w:rPr/>
  </w:style>
  <w:style w:type="paragraph" w:styleId="BaseArial">
    <w:name w:val="BaseArial"/>
    <w:qFormat/>
    <w:pPr>
      <w:widowControl/>
      <w:bidi w:val="0"/>
    </w:pPr>
    <w:rPr>
      <w:rFonts w:ascii="Arial" w:hAnsi="Arial" w:eastAsia="Times New Roman" w:cs="Arial"/>
      <w:color w:val="auto"/>
      <w:sz w:val="24"/>
      <w:szCs w:val="20"/>
      <w:lang w:val="en-US" w:eastAsia="zh-CN" w:bidi="hi-IN"/>
    </w:rPr>
  </w:style>
  <w:style w:type="paragraph" w:styleId="SignatureBlock">
    <w:name w:val="SignatureBlock"/>
    <w:basedOn w:val="Text"/>
    <w:next w:val="Text"/>
    <w:qFormat/>
    <w:pPr>
      <w:keepLines/>
      <w:tabs>
        <w:tab w:val="clear" w:pos="720"/>
        <w:tab w:val="left" w:pos="5731" w:leader="none"/>
        <w:tab w:val="right" w:pos="9000" w:leader="none"/>
      </w:tabs>
      <w:spacing w:before="480" w:after="240"/>
      <w:ind w:hanging="360" w:start="504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ind w:hanging="0" w:start="0" w:end="-7200"/>
    </w:pPr>
    <w:rPr>
      <w:rFonts w:ascii="Courier New" w:hAnsi="Courier New" w:eastAsia="Times New Roman" w:cs="Courier New"/>
      <w:color w:val="auto"/>
      <w:sz w:val="20"/>
      <w:szCs w:val="20"/>
      <w:lang w:val="en-US" w:eastAsia="zh-CN" w:bidi="hi-IN"/>
    </w:rPr>
  </w:style>
  <w:style w:type="paragraph" w:styleId="LongDocNameWC">
    <w:name w:val="LongDocNameW&amp;C"/>
    <w:basedOn w:val="Normal"/>
    <w:qFormat/>
    <w:pPr/>
    <w:rPr>
      <w:sz w:val="12"/>
      <w:lang w:val="en-CA" w:eastAsia="en-CA"/>
    </w:rPr>
  </w:style>
  <w:style w:type="paragraph" w:styleId="IDSTWC">
    <w:name w:val="IDSTW&amp;C"/>
    <w:qFormat/>
    <w:pPr>
      <w:widowControl/>
      <w:bidi w:val="0"/>
    </w:pPr>
    <w:rPr>
      <w:rFonts w:ascii="Times New Roman" w:hAnsi="Times New Roman" w:eastAsia="Times New Roman" w:cs="Times New Roman"/>
      <w:color w:val="auto"/>
      <w:sz w:val="12"/>
      <w:szCs w:val="20"/>
      <w:lang w:val="en-CA" w:eastAsia="zh-CN" w:bidi="hi-IN"/>
    </w:rPr>
  </w:style>
  <w:style w:type="paragraph" w:styleId="IDWC">
    <w:name w:val="IDW&amp;C"/>
    <w:basedOn w:val="Normal"/>
    <w:qFormat/>
    <w:pPr>
      <w:widowControl w:val="false"/>
      <w:ind w:firstLine="1440" w:start="0" w:end="0"/>
    </w:pPr>
    <w:rPr>
      <w:sz w:val="12"/>
      <w:lang w:val="en-CA" w:eastAsia="en-CA"/>
    </w:rPr>
  </w:style>
  <w:style w:type="paragraph" w:styleId="TOCHeading">
    <w:name w:val="TOCHeading"/>
    <w:basedOn w:val="Normal"/>
    <w:next w:val="Normal"/>
    <w:qFormat/>
    <w:pPr>
      <w:spacing w:lineRule="exact" w:line="240" w:before="0" w:after="480"/>
    </w:pPr>
    <w:rPr/>
  </w:style>
  <w:style w:type="paragraph" w:styleId="TOC21">
    <w:name w:val="TOC  2"/>
    <w:basedOn w:val="Text"/>
    <w:qFormat/>
    <w:pPr>
      <w:tabs>
        <w:tab w:val="left" w:pos="720" w:leader="none"/>
        <w:tab w:val="right" w:pos="9360" w:leader="dot"/>
      </w:tabs>
      <w:spacing w:before="0" w:after="0"/>
      <w:ind w:hanging="720" w:start="1440" w:end="576"/>
    </w:pPr>
    <w:rPr/>
  </w:style>
  <w:style w:type="paragraph" w:styleId="TOC31">
    <w:name w:val="TOC  3"/>
    <w:basedOn w:val="Text"/>
    <w:qFormat/>
    <w:pPr>
      <w:tabs>
        <w:tab w:val="left" w:pos="720" w:leader="none"/>
        <w:tab w:val="right" w:pos="9360" w:leader="dot"/>
      </w:tabs>
      <w:spacing w:before="0" w:after="0"/>
      <w:ind w:hanging="720" w:start="2160" w:end="576"/>
    </w:pPr>
    <w:rPr/>
  </w:style>
  <w:style w:type="paragraph" w:styleId="TOC41">
    <w:name w:val="TOC  4"/>
    <w:basedOn w:val="Text"/>
    <w:qFormat/>
    <w:pPr>
      <w:tabs>
        <w:tab w:val="left" w:pos="720" w:leader="none"/>
        <w:tab w:val="right" w:pos="9360" w:leader="dot"/>
      </w:tabs>
      <w:spacing w:before="0" w:after="0"/>
      <w:ind w:hanging="720" w:start="2880" w:end="576"/>
    </w:pPr>
    <w:rPr/>
  </w:style>
  <w:style w:type="paragraph" w:styleId="TOC5">
    <w:name w:val="TOC  5"/>
    <w:basedOn w:val="Text"/>
    <w:qFormat/>
    <w:pPr>
      <w:tabs>
        <w:tab w:val="left" w:pos="720" w:leader="none"/>
        <w:tab w:val="right" w:pos="9360" w:leader="dot"/>
      </w:tabs>
      <w:spacing w:before="0" w:after="0"/>
      <w:ind w:hanging="720" w:start="3600" w:end="576"/>
    </w:pPr>
    <w:rPr/>
  </w:style>
  <w:style w:type="paragraph" w:styleId="TOC6">
    <w:name w:val="TOC  6"/>
    <w:basedOn w:val="Text"/>
    <w:qFormat/>
    <w:pPr>
      <w:tabs>
        <w:tab w:val="left" w:pos="720" w:leader="none"/>
        <w:tab w:val="right" w:pos="9360" w:leader="dot"/>
      </w:tabs>
      <w:spacing w:before="0" w:after="0"/>
      <w:ind w:hanging="720" w:start="4320" w:end="576"/>
    </w:pPr>
    <w:rPr/>
  </w:style>
  <w:style w:type="paragraph" w:styleId="Level1">
    <w:name w:val="Level 1"/>
    <w:basedOn w:val="Normal"/>
    <w:qFormat/>
    <w:pPr>
      <w:widowControl w:val="false"/>
      <w:ind w:hanging="720" w:start="1440" w:end="0"/>
    </w:pPr>
    <w:rPr>
      <w:sz w:val="20"/>
    </w:rPr>
  </w:style>
  <w:style w:type="paragraph" w:styleId="BodyTextIndent">
    <w:name w:val="Body Text Indent"/>
    <w:basedOn w:val="Normal"/>
    <w:pPr>
      <w:widowControl w:val="false"/>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hanging="720" w:start="1440" w:end="0"/>
      <w:jc w:val="both"/>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Standard W&amp;C.dot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2001-01-27T01:15:00Z</dcterms:created>
  <dc:creator>WHITE &amp; CASE</dc:creator>
  <dc:description/>
  <dc:language>en-CA</dc:language>
  <cp:lastModifiedBy>Preferred Customer</cp:lastModifiedBy>
  <cp:lastPrinted>1996-04-22T15:39:00Z</cp:lastPrinted>
  <dcterms:modified xsi:type="dcterms:W3CDTF">2001-01-27T01:15:00Z</dcterms:modified>
  <cp:revision>2</cp:revision>
  <dc:subject/>
  <dc:title>Blueprint for Reforming Gas-Fired SCE and SDG&amp;E QF Energy Pricing</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Matter Number">
    <vt:lpwstr/>
  </property>
  <property fmtid="{D5CDD505-2E9C-101B-9397-08002B2CF9AE}" pid="3" name="DOCSDescription">
    <vt:lpwstr> </vt:lpwstr>
  </property>
  <property fmtid="{D5CDD505-2E9C-101B-9397-08002B2CF9AE}" pid="4" name="DateMissiv">
    <vt:lpwstr>Date</vt:lpwstr>
  </property>
  <property fmtid="{D5CDD505-2E9C-101B-9397-08002B2CF9AE}" pid="5" name="FYIMissiv">
    <vt:lpwstr>For your information</vt:lpwstr>
  </property>
  <property fmtid="{D5CDD505-2E9C-101B-9397-08002B2CF9AE}" pid="6" name="Full DOS Name">
    <vt:bool>0</vt:bool>
  </property>
  <property fmtid="{D5CDD505-2E9C-101B-9397-08002B2CF9AE}" pid="7" name="Language1">
    <vt:lpwstr>English (US)</vt:lpwstr>
  </property>
  <property fmtid="{D5CDD505-2E9C-101B-9397-08002B2CF9AE}" pid="8" name="PrivLine1">
    <vt:lpwstr>Privileged &amp; Confidential</vt:lpwstr>
  </property>
  <property fmtid="{D5CDD505-2E9C-101B-9397-08002B2CF9AE}" pid="9" name="PrivLine2">
    <vt:lpwstr>Attorney Work Product</vt:lpwstr>
  </property>
  <property fmtid="{D5CDD505-2E9C-101B-9397-08002B2CF9AE}" pid="10" name="ReferenceMissiv">
    <vt:lpwstr>Our reference</vt:lpwstr>
  </property>
  <property fmtid="{D5CDD505-2E9C-101B-9397-08002B2CF9AE}" pid="11" name="ShowVersion">
    <vt:bool>1</vt:bool>
  </property>
  <property fmtid="{D5CDD505-2E9C-101B-9397-08002B2CF9AE}" pid="12" name="SigBy1">
    <vt:lpwstr>By:</vt:lpwstr>
  </property>
  <property fmtid="{D5CDD505-2E9C-101B-9397-08002B2CF9AE}" pid="13" name="SigName1">
    <vt:lpwstr>Name:</vt:lpwstr>
  </property>
  <property fmtid="{D5CDD505-2E9C-101B-9397-08002B2CF9AE}" pid="14" name="SigTitle1">
    <vt:lpwstr>Title:</vt:lpwstr>
  </property>
  <property fmtid="{D5CDD505-2E9C-101B-9397-08002B2CF9AE}" pid="15" name="TelefaxMissiv">
    <vt:lpwstr>Telefax</vt:lpwstr>
  </property>
  <property fmtid="{D5CDD505-2E9C-101B-9397-08002B2CF9AE}" pid="16" name="TelephoneMissiv">
    <vt:lpwstr>Telephone</vt:lpwstr>
  </property>
  <property fmtid="{D5CDD505-2E9C-101B-9397-08002B2CF9AE}" pid="17" name="ToMissiv">
    <vt:lpwstr>To</vt:lpwstr>
  </property>
  <property fmtid="{D5CDD505-2E9C-101B-9397-08002B2CF9AE}" pid="18" name="VisitingAddressMissiv">
    <vt:lpwstr>Visiting address</vt:lpwstr>
  </property>
  <property fmtid="{D5CDD505-2E9C-101B-9397-08002B2CF9AE}" pid="19" name="WCOffice">
    <vt:lpwstr>New York</vt:lpwstr>
  </property>
  <property fmtid="{D5CDD505-2E9C-101B-9397-08002B2CF9AE}" pid="20" name="WCPage1">
    <vt:lpwstr>Page</vt:lpwstr>
  </property>
</Properties>
</file>