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</w:t>
      </w:r>
    </w:p>
    <w:p>
      <w:pPr>
        <w:sectPr>
          <w:footerReference w:type="default" r:id="rId2"/>
          <w:footerReference w:type="first" r:id="rId3"/>
          <w:type w:val="nextPage"/>
          <w:pgSz w:w="12240" w:h="15840"/>
          <w:pgMar w:left="720" w:right="720" w:gutter="0" w:header="0" w:top="1080" w:footer="720" w:bottom="776"/>
          <w:pgNumType w:start="1"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10800" w:leader="none"/>
        </w:tabs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635" t="1905" r="635" b="19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stroked="t" o:allowincell="f" style="position:absolute">
                <v:stroke color="black" weight="324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/>
          <w:bCs/>
          <w:sz w:val="28"/>
          <w:szCs w:val="28"/>
        </w:rPr>
        <w:t>Data Sheet Report</w:t>
      </w:r>
      <w:r>
        <w:rPr>
          <w:b/>
          <w:bCs/>
        </w:rPr>
        <w:t xml:space="preserve">  </w:t>
        <w:tab/>
      </w:r>
      <w:r>
        <w:rPr/>
        <w:t>31 May, 2001</w:t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rPr/>
      </w:pPr>
      <w:r>
        <w:rPr>
          <w:b/>
          <w:bCs/>
          <w:sz w:val="28"/>
          <w:szCs w:val="28"/>
        </w:rPr>
        <w:t>Enron Direkt GmbH</w:t>
      </w:r>
      <w:r>
        <w:rPr/>
        <w:t xml:space="preserve">  as of 31 May, 2001</w: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3960"/>
        <w:gridCol w:w="3960"/>
        <w:gridCol w:w="630"/>
        <w:gridCol w:w="198"/>
        <w:gridCol w:w="72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>Articles OrigRstAmd:</w:t>
              <w:br/>
              <w:t>Memo(F) OrigRestAmd: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 xml:space="preserve">Active </w:t>
              <w:br/>
              <w:t>1594 EDRG</w:t>
              <w:br/>
              <w:t>Germany</w:t>
              <w:br/>
              <w:t>EES</w:t>
              <w:br/>
              <w:t>PENDING</w:t>
              <w:br/>
              <w:t>05/31/2001</w:t>
              <w:br/>
              <w:t>APatrick</w:t>
              <w:br/>
              <w:t>10/27/2000</w:t>
              <w:br/>
              <w:t>10/27/2000</w:t>
              <w:br/>
              <w:t>Enron</w:t>
              <w:b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rPr/>
            </w:pPr>
            <w:r>
              <w:rPr/>
              <w:t xml:space="preserve">Employees: Yes </w:t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80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rPr/>
            </w:pPr>
            <w:r>
              <w:rPr/>
              <w:t>Annual Meeting: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87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Primary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 xml:space="preserve">Borsenstrasse 2-4 </w:t>
            </w:r>
          </w:p>
          <w:p>
            <w:pPr>
              <w:pStyle w:val="Normal"/>
              <w:rPr/>
            </w:pPr>
            <w:r>
              <w:rPr/>
              <w:t>60313 Frankfurt am Main,  Germany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Registered Address</w:t>
            </w:r>
          </w:p>
          <w:p>
            <w:pPr>
              <w:pStyle w:val="Normal"/>
              <w:rPr/>
            </w:pPr>
            <w:r>
              <w:rPr>
                <w:rFonts w:cs="Arial" w:ascii="Arial" w:hAnsi="Arial"/>
                <w:b/>
                <w:bCs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rPr/>
      </w:pPr>
      <w:r>
        <w:rPr>
          <w:b/>
          <w:bCs/>
        </w:rPr>
        <w:t>Purpose of Business</w:t>
      </w:r>
      <w:r>
        <w:rPr/>
        <w:t xml:space="preserve"> </w:t>
      </w:r>
    </w:p>
    <w:p>
      <w:pPr>
        <w:pStyle w:val="Normal"/>
        <w:ind w:start="720" w:end="720"/>
        <w:rPr/>
      </w:pPr>
      <w:r>
        <w:rPr/>
        <w:t>To allow for the sale of power and electricity to industrial and domestic consumers in Germany.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Location of Minute Books</w:t>
      </w:r>
    </w:p>
    <w:p>
      <w:pPr>
        <w:pStyle w:val="Normal"/>
        <w:rPr/>
      </w:pPr>
      <w:r>
        <w:rPr>
          <w:rFonts w:cs="Arial" w:ascii="Arial" w:hAnsi="Arial"/>
          <w:b/>
          <w:bCs/>
        </w:rPr>
        <w:tab/>
      </w:r>
      <w:r>
        <w:rPr/>
        <w:t>Frankfurt, Germany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</w:rPr>
      </w:pPr>
      <w:r>
        <w:rPr>
          <w:b/>
          <w:bCs/>
        </w:rPr>
        <w:t>DIRECTORS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2880"/>
        <w:gridCol w:w="1980"/>
        <w:gridCol w:w="1890"/>
      </w:tblGrid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Title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Charles C. Crossley-Cooke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James V. Derrick, Jr.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Matthew G. Scrimshaw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Christoph Waltenspuel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Director</w:t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u w:val="single"/>
        </w:rPr>
      </w:pPr>
      <w:r>
        <w:rPr>
          <w:rStyle w:val="colhead"/>
          <w:rFonts w:cs="Times New Roman;Times New Roman"/>
          <w:u w:val="single"/>
        </w:rPr>
        <w:t>STOCKS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Quotas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60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/>
              <w:t>EUR 1.00</w:t>
              <w:br/>
              <w:br/>
            </w:r>
          </w:p>
        </w:tc>
        <w:tc>
          <w:tcPr>
            <w:tcW w:w="2160" w:type="dxa"/>
            <w:tcBorders/>
          </w:tcPr>
          <w:p>
            <w:pPr>
              <w:pStyle w:val="Normal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rPr/>
            </w:pPr>
            <w:r>
              <w:rPr/>
              <w:t>23 February, 2001</w:t>
              <w:br/>
              <w:t>25,000</w:t>
              <w:br/>
              <w:t>25,000</w:t>
              <w:br/>
              <w:t>25,000</w:t>
              <w:br/>
            </w:r>
          </w:p>
        </w:tc>
      </w:tr>
    </w:tbl>
    <w:p>
      <w:pPr>
        <w:pStyle w:val="Normal"/>
        <w:rPr/>
      </w:pPr>
      <w:r>
        <w:rPr/>
      </w:r>
    </w:p>
    <w:tbl>
      <w:tblPr>
        <w:tblW w:w="1036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8"/>
        <w:gridCol w:w="2142"/>
        <w:gridCol w:w="18"/>
        <w:gridCol w:w="1602"/>
        <w:gridCol w:w="1890"/>
        <w:gridCol w:w="1620"/>
        <w:gridCol w:w="2140"/>
        <w:gridCol w:w="20"/>
        <w:gridCol w:w="18"/>
        <w:gridCol w:w="73"/>
        <w:gridCol w:w="18"/>
      </w:tblGrid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Current Owner(s)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rStyle w:val="colhead"/>
                <w:sz w:val="16"/>
                <w:szCs w:val="16"/>
              </w:rPr>
              <w:t>Date Issued</w:t>
              <w:br/>
              <w:t>or Transferred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snapToGrid w:val="false"/>
              <w:rPr>
                <w:rStyle w:val="colhead"/>
                <w:sz w:val="16"/>
                <w:szCs w:val="16"/>
              </w:rPr>
            </w:pPr>
            <w:r>
              <w:rPr/>
            </w:r>
          </w:p>
        </w:tc>
        <w:tc>
          <w:tcPr>
            <w:tcW w:w="2340" w:type="dxa"/>
            <w:gridSpan w:val="3"/>
            <w:tcBorders/>
          </w:tcPr>
          <w:p>
            <w:pPr>
              <w:pStyle w:val="Normal"/>
              <w:rPr/>
            </w:pPr>
            <w:r>
              <w:rPr/>
              <w:t>Enron Energy Services Europe B.V.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001</w:t>
            </w:r>
          </w:p>
        </w:tc>
        <w:tc>
          <w:tcPr>
            <w:tcW w:w="189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ind w:end="288"/>
              <w:rPr/>
            </w:pPr>
            <w:r>
              <w:rPr/>
              <w:t>25,000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23 February, 2001</w:t>
            </w:r>
          </w:p>
        </w:tc>
        <w:tc>
          <w:tcPr>
            <w:tcW w:w="91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Value of Consideration:</w:t>
            </w:r>
          </w:p>
        </w:tc>
        <w:tc>
          <w:tcPr>
            <w:tcW w:w="7290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91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8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>Consideration:</w:t>
            </w:r>
          </w:p>
        </w:tc>
        <w:tc>
          <w:tcPr>
            <w:tcW w:w="7381" w:type="dxa"/>
            <w:gridSpan w:val="7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Comment:</w:t>
            </w:r>
          </w:p>
        </w:tc>
        <w:tc>
          <w:tcPr>
            <w:tcW w:w="7270" w:type="dxa"/>
            <w:gridSpan w:val="5"/>
            <w:tcBorders/>
          </w:tcPr>
          <w:p>
            <w:pPr>
              <w:pStyle w:val="Normal"/>
              <w:rPr/>
            </w:pPr>
            <w:r>
              <w:rPr/>
              <w:t>Quotas not shares; arbitrary cert. #.  None rec'd/</w:t>
            </w:r>
          </w:p>
        </w:tc>
        <w:tc>
          <w:tcPr>
            <w:tcW w:w="111" w:type="dxa"/>
            <w:gridSpan w:val="3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60"/>
        <w:gridCol w:w="1530"/>
        <w:gridCol w:w="1980"/>
        <w:gridCol w:w="1350"/>
        <w:gridCol w:w="4231"/>
      </w:tblGrid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>
                <w:rFonts w:cs="Times New Roman;Times New Roman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snapToGrid w:val="false"/>
              <w:rPr>
                <w:rStyle w:val="colhead"/>
                <w:rFonts w:ascii="Times New Roman;Times New Roman" w:hAnsi="Times New Roman;Times New Roman" w:cs="Times New Roman;Times New Roman"/>
                <w:u w:val="single"/>
              </w:rPr>
            </w:pPr>
            <w:r>
              <w:rPr/>
            </w:r>
          </w:p>
        </w:tc>
        <w:tc>
          <w:tcPr>
            <w:tcW w:w="198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  <w:u w:val="single"/>
              </w:rPr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  <w:tc>
          <w:tcPr>
            <w:tcW w:w="4231" w:type="dxa"/>
            <w:tcBorders/>
          </w:tcPr>
          <w:p>
            <w:pPr>
              <w:pStyle w:val="Normal"/>
              <w:snapToGrid w:val="false"/>
              <w:rPr>
                <w:rStyle w:val="colhead"/>
                <w:b w:val="false"/>
                <w:bCs w:val="false"/>
              </w:rPr>
            </w:pPr>
            <w:r>
              <w:rPr/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Charter No</w:t>
            </w:r>
            <w:r>
              <w:rPr>
                <w:rStyle w:val="colhead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>
                <w:rStyle w:val="colhead"/>
                <w:rFonts w:cs="Times New Roman;Times New Roman"/>
                <w:u w:val="single"/>
              </w:rPr>
              <w:t>Date</w:t>
            </w:r>
            <w:r>
              <w:rPr>
                <w:rStyle w:val="colhead"/>
              </w:rPr>
              <w:t xml:space="preserve"> 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>
                <w:rStyle w:val="colhead"/>
              </w:rPr>
            </w:pPr>
            <w:r>
              <w:rPr>
                <w:rStyle w:val="colhead"/>
                <w:rFonts w:cs="Times New Roman;Times New Roman"/>
                <w:u w:val="single"/>
              </w:rPr>
              <w:t>Agent</w:t>
            </w:r>
          </w:p>
        </w:tc>
      </w:tr>
      <w:tr>
        <w:trPr/>
        <w:tc>
          <w:tcPr>
            <w:tcW w:w="172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>Germany</w:t>
            </w:r>
          </w:p>
        </w:tc>
        <w:tc>
          <w:tcPr>
            <w:tcW w:w="1530" w:type="dxa"/>
            <w:tcBorders/>
          </w:tcPr>
          <w:p>
            <w:pPr>
              <w:pStyle w:val="Normal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rPr/>
            </w:pPr>
            <w:r>
              <w:rPr/>
              <w:t>HRB 51723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rPr/>
            </w:pPr>
            <w:r>
              <w:rPr/>
              <w:t>27 October, 2000</w:t>
            </w:r>
          </w:p>
        </w:tc>
        <w:tc>
          <w:tcPr>
            <w:tcW w:w="4231" w:type="dxa"/>
            <w:tcBorders/>
          </w:tcPr>
          <w:p>
            <w:pPr>
              <w:pStyle w:val="Normal"/>
              <w:rPr/>
            </w:pPr>
            <w:r>
              <w:rPr/>
              <w:t>Clifford Chance Punder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91" w:type="dxa"/>
            <w:gridSpan w:val="4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rStyle w:val="colhead"/>
          <w:rFonts w:cs="Times New Roman;Times New Roman"/>
        </w:rPr>
        <w:t>NARRATIVES</w:t>
      </w:r>
    </w:p>
    <w:p>
      <w:pPr>
        <w:pStyle w:val="Normal"/>
        <w:rPr>
          <w:rStyle w:val="colhead"/>
        </w:rPr>
      </w:pPr>
      <w:r>
        <w:rPr/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5/9/2001 - POA granted to Arthur Andersen to represent the Company in all tax matters.</w:t>
      </w:r>
    </w:p>
    <w:p>
      <w:pPr>
        <w:pStyle w:val="Normal"/>
        <w:ind w:start="936" w:end="576"/>
        <w:rPr/>
      </w:pPr>
      <w:r>
        <w:rPr/>
        <w:t xml:space="preserve"> </w:t>
      </w:r>
    </w:p>
    <w:p>
      <w:pPr>
        <w:pStyle w:val="Normal"/>
        <w:ind w:start="936" w:end="576"/>
        <w:rPr/>
      </w:pPr>
      <w:r>
        <w:rPr/>
        <w:t>Legal contact: Frank Hollstein, Clifford Chance Punder, Frankfurt am Main.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6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rPr/>
    </w:pPr>
    <w:r>
      <w:rPr/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 w:cs="Arial"/>
      <w:b/>
      <w:bCs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2001-05-31T20:11:00Z</dcterms:created>
  <dc:creator>Steven D. Gullion</dc:creator>
  <dc:description/>
  <dc:language>en-CA</dc:language>
  <cp:lastModifiedBy>kcole</cp:lastModifiedBy>
  <cp:lastPrinted>2001-05-31T17:41:00Z</cp:lastPrinted>
  <dcterms:modified xsi:type="dcterms:W3CDTF">2001-05-31T20:11:00Z</dcterms:modified>
  <cp:revision>2</cp:revision>
  <dc:subject/>
  <dc:title>     </dc:title>
</cp:coreProperties>
</file>