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Rod Hayslett, Steve Harris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James Centilli, Dave Foti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snapToGrid w:val="false"/>
              <w:rPr>
                <w:sz w:val="16"/>
              </w:rPr>
            </w:pPr>
            <w:r>
              <w:rPr>
                <w:sz w:val="16"/>
              </w:rPr>
            </w:r>
            <w:bookmarkStart w:id="0" w:name="From"/>
            <w:bookmarkStart w:id="1" w:name="From"/>
            <w:bookmarkEnd w:id="1"/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One-Time Payment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Normal"/>
        <w:tabs>
          <w:tab w:val="clear" w:pos="540"/>
        </w:tabs>
        <w:rPr>
          <w:color w:val="000080"/>
        </w:rPr>
      </w:pPr>
      <w:bookmarkStart w:id="2" w:name="StartOfMemo"/>
      <w:bookmarkEnd w:id="2"/>
      <w:r>
        <w:rPr>
          <w:color w:val="000080"/>
        </w:rPr>
        <w:t>Background</w:t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  <w:t>The one-time payment was negotiated by George Fastuca with Mark Courtney.  The components of the payment include:</w:t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tbl>
      <w:tblPr>
        <w:tblW w:w="70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98"/>
        <w:gridCol w:w="1384"/>
      </w:tblGrid>
      <w:tr>
        <w:trPr/>
        <w:tc>
          <w:tcPr>
            <w:tcW w:w="56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</w:tabs>
              <w:rPr>
                <w:sz w:val="20"/>
              </w:rPr>
            </w:pPr>
            <w:r>
              <w:rPr>
                <w:sz w:val="20"/>
              </w:rPr>
              <w:t>1.  Monetization of Additional Gas – 418 mmbtu/day at $2.42</w:t>
            </w:r>
          </w:p>
        </w:tc>
        <w:tc>
          <w:tcPr>
            <w:tcW w:w="13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</w:tabs>
              <w:rPr>
                <w:sz w:val="20"/>
              </w:rPr>
            </w:pPr>
            <w:r>
              <w:rPr>
                <w:sz w:val="20"/>
              </w:rPr>
              <w:t>$2,298,454</w:t>
            </w:r>
          </w:p>
        </w:tc>
      </w:tr>
      <w:tr>
        <w:trPr/>
        <w:tc>
          <w:tcPr>
            <w:tcW w:w="56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</w:tabs>
              <w:rPr>
                <w:sz w:val="20"/>
              </w:rPr>
            </w:pPr>
            <w:r>
              <w:rPr>
                <w:sz w:val="20"/>
              </w:rPr>
              <w:t>2.  ECS profit sharing</w:t>
            </w:r>
          </w:p>
        </w:tc>
        <w:tc>
          <w:tcPr>
            <w:tcW w:w="13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</w:tabs>
              <w:rPr>
                <w:sz w:val="20"/>
              </w:rPr>
            </w:pPr>
            <w:r>
              <w:rPr>
                <w:sz w:val="20"/>
              </w:rPr>
              <w:t>$   500,000</w:t>
            </w:r>
          </w:p>
        </w:tc>
      </w:tr>
      <w:tr>
        <w:trPr/>
        <w:tc>
          <w:tcPr>
            <w:tcW w:w="56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</w:tabs>
              <w:rPr>
                <w:sz w:val="20"/>
              </w:rPr>
            </w:pPr>
            <w:r>
              <w:rPr>
                <w:sz w:val="20"/>
              </w:rPr>
              <w:t>3.  Value Creation Sharing (1.5% of mark-to-market)</w:t>
            </w:r>
          </w:p>
        </w:tc>
        <w:tc>
          <w:tcPr>
            <w:tcW w:w="13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$      55,141</w:t>
            </w:r>
          </w:p>
        </w:tc>
      </w:tr>
      <w:tr>
        <w:trPr/>
        <w:tc>
          <w:tcPr>
            <w:tcW w:w="56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</w:tabs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</w:tabs>
              <w:rPr>
                <w:sz w:val="20"/>
              </w:rPr>
            </w:pPr>
            <w:r>
              <w:rPr>
                <w:sz w:val="20"/>
              </w:rPr>
              <w:t>$2,853,596</w:t>
            </w:r>
          </w:p>
        </w:tc>
      </w:tr>
    </w:tbl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  <w:t xml:space="preserve">This payment in combination with the annual fixed charge of </w:t>
      </w:r>
      <w:r>
        <w:rPr>
          <w:sz w:val="20"/>
        </w:rPr>
        <w:t>$2,854,079, left ECS with an annual profit of $222k per year.</w:t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</w:rPr>
        <w:t>Common Ground</w:t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  <w:t>In the following items ECS and ET&amp;S are in agreement:</w:t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  <w:t>The components of the calculation methodology;</w:t>
      </w:r>
    </w:p>
    <w:p>
      <w:pPr>
        <w:pStyle w:val="Normal"/>
        <w:numPr>
          <w:ilvl w:val="0"/>
          <w:numId w:val="2"/>
        </w:numPr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  <w:t>The $2.8 million was the agreed upon amount in October 1999 when contract was agreed upon and finalized.</w:t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</w:rPr>
        <w:t>Points in Dispute</w:t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numPr>
          <w:ilvl w:val="0"/>
          <w:numId w:val="4"/>
        </w:numPr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  <w:t>There was a defined agreement that the level of ECS’ profit was to be 25% of avoided demand value.</w:t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  <w:t>Neither Centilli or Foti remember Fastuca ever explicitly agreeing to this formula.  Our recollection is that the 25% was one of several benchmarks that Fastuca used to determine a “reasonable” level of transaction costs that ET&amp;S would be willing to incur.</w:t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numPr>
          <w:ilvl w:val="0"/>
          <w:numId w:val="3"/>
        </w:numPr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  <w:t>The $2.8MM was only a place-holder number.</w:t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  <w:t>There were several rounds of negotiation with ECS in formulating this number.  ET&amp;S considered this number to be final.</w:t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rPr>
          <w:color w:val="000080"/>
          <w:sz w:val="20"/>
        </w:rPr>
      </w:pPr>
      <w:r>
        <w:rPr>
          <w:color w:val="000080"/>
          <w:sz w:val="20"/>
        </w:rPr>
      </w:r>
    </w:p>
    <w:p>
      <w:pPr>
        <w:pStyle w:val="Normal"/>
        <w:tabs>
          <w:tab w:val="clear" w:pos="540"/>
        </w:tabs>
        <w:rPr>
          <w:color w:val="000080"/>
        </w:rPr>
      </w:pPr>
      <w:r>
        <w:rPr>
          <w:color w:val="000080"/>
        </w:rPr>
        <w:t xml:space="preserve">Options </w:t>
      </w:r>
    </w:p>
    <w:p>
      <w:pPr>
        <w:pStyle w:val="Normal"/>
        <w:tabs>
          <w:tab w:val="clear" w:pos="540"/>
        </w:tabs>
        <w:rPr>
          <w:color w:val="000080"/>
        </w:rPr>
      </w:pPr>
      <w:r>
        <w:rPr>
          <w:color w:val="000080"/>
        </w:rPr>
      </w:r>
    </w:p>
    <w:p>
      <w:pPr>
        <w:pStyle w:val="Normal"/>
        <w:numPr>
          <w:ilvl w:val="0"/>
          <w:numId w:val="5"/>
        </w:numPr>
        <w:tabs>
          <w:tab w:val="clear" w:pos="540"/>
        </w:tabs>
        <w:spacing w:lineRule="exact" w:line="280"/>
        <w:rPr>
          <w:color w:val="000080"/>
          <w:sz w:val="20"/>
        </w:rPr>
      </w:pPr>
      <w:r>
        <w:rPr>
          <w:color w:val="000080"/>
          <w:sz w:val="20"/>
        </w:rPr>
        <w:t>ET&amp;S starting position – finalize the transaction as understood</w:t>
      </w:r>
    </w:p>
    <w:p>
      <w:pPr>
        <w:pStyle w:val="Normal"/>
        <w:numPr>
          <w:ilvl w:val="0"/>
          <w:numId w:val="5"/>
        </w:numPr>
        <w:tabs>
          <w:tab w:val="clear" w:pos="540"/>
        </w:tabs>
        <w:spacing w:lineRule="exact" w:line="280"/>
        <w:rPr>
          <w:color w:val="000080"/>
          <w:sz w:val="20"/>
        </w:rPr>
      </w:pPr>
      <w:r>
        <w:rPr>
          <w:color w:val="000080"/>
          <w:sz w:val="20"/>
        </w:rPr>
        <w:t>Compromise: share accrual value – share portion of transmission demand charge actually missed</w:t>
      </w:r>
    </w:p>
    <w:p>
      <w:pPr>
        <w:pStyle w:val="Normal"/>
        <w:numPr>
          <w:ilvl w:val="0"/>
          <w:numId w:val="5"/>
        </w:numPr>
        <w:tabs>
          <w:tab w:val="clear" w:pos="540"/>
        </w:tabs>
        <w:spacing w:lineRule="exact" w:line="280"/>
        <w:rPr>
          <w:color w:val="000080"/>
          <w:sz w:val="20"/>
        </w:rPr>
      </w:pPr>
      <w:r>
        <w:rPr>
          <w:color w:val="000080"/>
          <w:sz w:val="20"/>
        </w:rPr>
        <w:t>Compromise: share discounted value – share portion of $500k from discounted value of transmission demand charge</w:t>
      </w:r>
    </w:p>
    <w:p>
      <w:pPr>
        <w:pStyle w:val="Normal"/>
        <w:numPr>
          <w:ilvl w:val="0"/>
          <w:numId w:val="5"/>
        </w:numPr>
        <w:tabs>
          <w:tab w:val="clear" w:pos="540"/>
        </w:tabs>
        <w:spacing w:lineRule="exact" w:line="280"/>
        <w:rPr>
          <w:color w:val="000080"/>
          <w:sz w:val="20"/>
        </w:rPr>
      </w:pPr>
      <w:r>
        <w:rPr>
          <w:color w:val="000080"/>
          <w:sz w:val="20"/>
        </w:rPr>
        <w:t>Compromise: acquiesce $500k with target adjustment</w:t>
      </w:r>
    </w:p>
    <w:p>
      <w:pPr>
        <w:pStyle w:val="Normal"/>
        <w:numPr>
          <w:ilvl w:val="0"/>
          <w:numId w:val="5"/>
        </w:numPr>
        <w:tabs>
          <w:tab w:val="clear" w:pos="540"/>
        </w:tabs>
        <w:spacing w:lineRule="exact" w:line="280"/>
        <w:rPr>
          <w:color w:val="000080"/>
          <w:sz w:val="20"/>
        </w:rPr>
      </w:pPr>
      <w:r>
        <w:rPr>
          <w:color w:val="000080"/>
          <w:sz w:val="20"/>
        </w:rPr>
        <w:t>Accommodate: increase layered gas from 418 mmbtu/day to 478 mmbtu/day to re-achieve $2.8MM</w:t>
      </w:r>
    </w:p>
    <w:p>
      <w:pPr>
        <w:pStyle w:val="Normal"/>
        <w:numPr>
          <w:ilvl w:val="0"/>
          <w:numId w:val="5"/>
        </w:numPr>
        <w:tabs>
          <w:tab w:val="clear" w:pos="540"/>
        </w:tabs>
        <w:spacing w:lineRule="exact" w:line="280"/>
        <w:rPr>
          <w:color w:val="000080"/>
          <w:sz w:val="20"/>
        </w:rPr>
      </w:pPr>
      <w:r>
        <w:rPr>
          <w:color w:val="000080"/>
          <w:sz w:val="20"/>
        </w:rPr>
        <w:t>ECS starting position – finalize transaction as ECS suggests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2564765</wp:posOffset>
              </wp:positionH>
              <wp:positionV relativeFrom="paragraph">
                <wp:posOffset>-449580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35.4pt;mso-position-vertical-relative:text;margin-left:201.9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1)" w:hAnsi="CG Times (W1)" w:cs="CG Times (W1)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Bfsmemo2.dot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2000-04-10T10:42:00Z</dcterms:created>
  <dc:creator>NT</dc:creator>
  <dc:description/>
  <dc:language>en-CA</dc:language>
  <cp:lastModifiedBy>NT</cp:lastModifiedBy>
  <cp:lastPrinted>2000-04-10T09:02:00Z</cp:lastPrinted>
  <dcterms:modified xsi:type="dcterms:W3CDTF">2000-04-10T11:32:00Z</dcterms:modified>
  <cp:revision>4</cp:revision>
  <dc:subject/>
  <dc:title>Better, Faster, Simpler Memo w/o Prompts</dc:title>
</cp:coreProperties>
</file>