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525" w:type="dxa"/>
        <w:jc w:val="start"/>
        <w:tblInd w:w="0" w:type="dxa"/>
        <w:tblLayout w:type="fixed"/>
        <w:tblCellMar>
          <w:top w:w="0" w:type="dxa"/>
          <w:start w:w="108" w:type="dxa"/>
          <w:bottom w:w="0" w:type="dxa"/>
          <w:end w:w="108" w:type="dxa"/>
        </w:tblCellMar>
      </w:tblPr>
      <w:tblGrid>
        <w:gridCol w:w="8525"/>
      </w:tblGrid>
      <w:tr>
        <w:trPr>
          <w:trHeight w:val="536" w:hRule="atLeast"/>
        </w:trPr>
        <w:tc>
          <w:tcPr>
            <w:tcW w:w="8525" w:type="dxa"/>
            <w:tcBorders/>
          </w:tcPr>
          <w:p>
            <w:pPr>
              <w:pStyle w:val="Normal"/>
              <w:ind w:end="-1054"/>
              <w:rPr>
                <w:rFonts w:ascii="Futura BQ" w:hAnsi="Futura BQ" w:eastAsia="Futura BQ" w:cs="Futura BQ"/>
              </w:rPr>
            </w:pPr>
            <w:r>
              <w:rPr>
                <w:rFonts w:eastAsia="Futura BQ" w:cs="Futura BQ" w:ascii="Futura BQ" w:hAnsi="Futura BQ"/>
              </w:rPr>
              <w:drawing>
                <wp:inline distT="0" distB="0" distL="0" distR="0">
                  <wp:extent cx="2247900" cy="4381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247900" cy="438150"/>
                          </a:xfrm>
                          <a:prstGeom prst="rect">
                            <a:avLst/>
                          </a:prstGeom>
                          <a:noFill/>
                        </pic:spPr>
                      </pic:pic>
                    </a:graphicData>
                  </a:graphic>
                </wp:inline>
              </w:drawing>
            </w:r>
          </w:p>
        </w:tc>
      </w:tr>
    </w:tbl>
    <w:p>
      <w:pPr>
        <w:pStyle w:val="Normal"/>
        <w:ind w:end="-1054"/>
        <w:jc w:val="both"/>
        <w:rPr>
          <w:b/>
          <w:bCs/>
          <w:i/>
          <w:i/>
          <w:iCs/>
          <w:sz w:val="28"/>
          <w:szCs w:val="28"/>
        </w:rPr>
      </w:pPr>
      <w:r>
        <w:rPr>
          <w:b/>
          <w:bCs/>
          <w:i/>
          <w:iCs/>
          <w:sz w:val="28"/>
          <w:szCs w:val="28"/>
        </w:rPr>
      </w:r>
    </w:p>
    <w:p>
      <w:pPr>
        <w:pStyle w:val="Normal"/>
        <w:ind w:end="-1054"/>
        <w:jc w:val="both"/>
        <w:rPr>
          <w:b/>
          <w:bCs/>
          <w:i/>
          <w:i/>
          <w:iCs/>
          <w:sz w:val="28"/>
          <w:szCs w:val="28"/>
        </w:rPr>
      </w:pPr>
      <w:r>
        <w:rPr>
          <w:b/>
          <w:bCs/>
          <w:i/>
          <w:iCs/>
          <w:sz w:val="28"/>
          <w:szCs w:val="28"/>
        </w:rPr>
      </w:r>
    </w:p>
    <w:p>
      <w:pPr>
        <w:pStyle w:val="Normal"/>
        <w:ind w:end="-1054"/>
        <w:jc w:val="both"/>
        <w:rPr>
          <w:sz w:val="22"/>
          <w:szCs w:val="22"/>
        </w:rPr>
      </w:pPr>
      <w:r>
        <w:rPr>
          <w:sz w:val="22"/>
          <w:szCs w:val="22"/>
        </w:rPr>
        <w:t>Date:</w:t>
        <w:tab/>
        <w:tab/>
        <w:tab/>
        <w:tab/>
      </w:r>
      <w:r>
        <w:rPr>
          <w:sz w:val="22"/>
          <w:szCs w:val="22"/>
        </w:rPr>
        <w:fldChar w:fldCharType="begin"/>
      </w:r>
      <w:r>
        <w:rPr>
          <w:sz w:val="22"/>
          <w:szCs w:val="22"/>
        </w:rPr>
        <w:instrText xml:space="preserve"> DATE \@"d\ MMMM', 'yyyy" </w:instrText>
      </w:r>
      <w:r>
        <w:rPr>
          <w:sz w:val="22"/>
          <w:szCs w:val="22"/>
        </w:rPr>
        <w:fldChar w:fldCharType="separate"/>
      </w:r>
      <w:r>
        <w:rPr>
          <w:sz w:val="22"/>
          <w:szCs w:val="22"/>
        </w:rPr>
        <w:t>28 September, 2025</w:t>
      </w:r>
      <w:r>
        <w:rPr>
          <w:sz w:val="22"/>
          <w:szCs w:val="22"/>
        </w:rPr>
        <w:fldChar w:fldCharType="end"/>
      </w:r>
    </w:p>
    <w:p>
      <w:pPr>
        <w:pStyle w:val="Normal"/>
        <w:ind w:end="-1054"/>
        <w:jc w:val="both"/>
        <w:rPr>
          <w:sz w:val="22"/>
          <w:szCs w:val="22"/>
        </w:rPr>
      </w:pPr>
      <w:r>
        <w:rPr>
          <w:sz w:val="22"/>
          <w:szCs w:val="22"/>
        </w:rPr>
      </w:r>
    </w:p>
    <w:p>
      <w:pPr>
        <w:pStyle w:val="Normal"/>
        <w:ind w:end="-1054"/>
        <w:jc w:val="both"/>
        <w:rPr>
          <w:sz w:val="22"/>
          <w:szCs w:val="22"/>
        </w:rPr>
      </w:pPr>
      <w:r>
        <w:rPr>
          <w:sz w:val="22"/>
          <w:szCs w:val="22"/>
        </w:rPr>
        <w:t>To:</w:t>
        <w:tab/>
        <w:tab/>
        <w:tab/>
        <w:tab/>
        <w:t>[ECT Investment Trust] (“ECT”)</w:t>
      </w:r>
    </w:p>
    <w:p>
      <w:pPr>
        <w:pStyle w:val="Normal"/>
        <w:ind w:end="-1054"/>
        <w:jc w:val="both"/>
        <w:rPr>
          <w:sz w:val="22"/>
          <w:szCs w:val="22"/>
        </w:rPr>
      </w:pPr>
      <w:r>
        <w:rPr>
          <w:sz w:val="22"/>
          <w:szCs w:val="22"/>
        </w:rPr>
      </w:r>
    </w:p>
    <w:p>
      <w:pPr>
        <w:pStyle w:val="Normal"/>
        <w:ind w:end="-1054"/>
        <w:jc w:val="both"/>
        <w:rPr>
          <w:sz w:val="22"/>
          <w:szCs w:val="22"/>
        </w:rPr>
      </w:pPr>
      <w:r>
        <w:rPr>
          <w:sz w:val="22"/>
          <w:szCs w:val="22"/>
        </w:rPr>
        <w:t>Attn:</w:t>
        <w:tab/>
        <w:tab/>
        <w:tab/>
        <w:tab/>
        <w:t>[***]</w:t>
      </w:r>
    </w:p>
    <w:p>
      <w:pPr>
        <w:pStyle w:val="Normal"/>
        <w:ind w:end="-1054"/>
        <w:jc w:val="both"/>
        <w:rPr>
          <w:sz w:val="22"/>
          <w:szCs w:val="22"/>
        </w:rPr>
      </w:pPr>
      <w:r>
        <w:rPr>
          <w:sz w:val="22"/>
          <w:szCs w:val="22"/>
        </w:rPr>
      </w:r>
    </w:p>
    <w:p>
      <w:pPr>
        <w:pStyle w:val="Normal"/>
        <w:ind w:end="-1054"/>
        <w:jc w:val="both"/>
        <w:rPr>
          <w:sz w:val="22"/>
          <w:szCs w:val="22"/>
        </w:rPr>
      </w:pPr>
      <w:r>
        <w:rPr>
          <w:sz w:val="22"/>
          <w:szCs w:val="22"/>
        </w:rPr>
        <w:t>Fax No:</w:t>
        <w:tab/>
        <w:tab/>
        <w:tab/>
        <w:t>[***]</w:t>
      </w:r>
    </w:p>
    <w:p>
      <w:pPr>
        <w:pStyle w:val="Normal"/>
        <w:ind w:end="-1054"/>
        <w:jc w:val="both"/>
        <w:rPr>
          <w:sz w:val="22"/>
          <w:szCs w:val="22"/>
        </w:rPr>
      </w:pPr>
      <w:r>
        <w:rPr>
          <w:sz w:val="22"/>
          <w:szCs w:val="22"/>
        </w:rPr>
      </w:r>
    </w:p>
    <w:p>
      <w:pPr>
        <w:pStyle w:val="BodyText2"/>
        <w:tabs>
          <w:tab w:val="clear" w:pos="2880"/>
          <w:tab w:val="left" w:pos="-720" w:leader="none"/>
        </w:tabs>
        <w:ind w:hanging="0" w:start="0" w:end="-1054"/>
        <w:rPr>
          <w:color w:val="auto"/>
          <w:sz w:val="22"/>
          <w:szCs w:val="22"/>
          <w:lang w:val="en-GB"/>
        </w:rPr>
      </w:pPr>
      <w:r>
        <w:rPr>
          <w:color w:val="auto"/>
          <w:sz w:val="22"/>
          <w:szCs w:val="22"/>
          <w:lang w:val="en-GB"/>
        </w:rPr>
        <w:t>From:</w:t>
        <w:tab/>
        <w:tab/>
        <w:tab/>
        <w:tab/>
        <w:t>UBS AG, London Branch (“UBS”)</w:t>
      </w:r>
    </w:p>
    <w:p>
      <w:pPr>
        <w:pStyle w:val="Normal"/>
        <w:ind w:end="-1054"/>
        <w:jc w:val="both"/>
        <w:rPr>
          <w:color w:val="auto"/>
          <w:sz w:val="22"/>
          <w:szCs w:val="22"/>
          <w:lang w:val="en-GB"/>
        </w:rPr>
      </w:pPr>
      <w:r>
        <w:rPr>
          <w:color w:val="auto"/>
          <w:sz w:val="22"/>
          <w:szCs w:val="22"/>
          <w:lang w:val="en-GB"/>
        </w:rPr>
      </w:r>
    </w:p>
    <w:p>
      <w:pPr>
        <w:pStyle w:val="Normal"/>
        <w:ind w:firstLine="720" w:start="2160" w:end="-1054"/>
        <w:jc w:val="both"/>
        <w:rPr/>
      </w:pPr>
      <w:r>
        <w:rPr>
          <w:sz w:val="22"/>
          <w:szCs w:val="22"/>
        </w:rPr>
        <w:t xml:space="preserve">Subject: </w:t>
      </w:r>
      <w:r>
        <w:rPr>
          <w:b/>
          <w:bCs/>
          <w:sz w:val="22"/>
          <w:szCs w:val="22"/>
        </w:rPr>
        <w:t>MASTER CONFIRMATION</w:t>
      </w:r>
    </w:p>
    <w:p>
      <w:pPr>
        <w:pStyle w:val="Normal"/>
        <w:ind w:firstLine="720" w:start="2160" w:end="-1054"/>
        <w:jc w:val="both"/>
        <w:rPr>
          <w:b/>
          <w:bCs/>
          <w:sz w:val="22"/>
          <w:szCs w:val="22"/>
        </w:rPr>
      </w:pPr>
      <w:r>
        <w:rPr>
          <w:b/>
          <w:bCs/>
          <w:sz w:val="22"/>
          <w:szCs w:val="22"/>
        </w:rPr>
      </w:r>
    </w:p>
    <w:p>
      <w:pPr>
        <w:pStyle w:val="Normal"/>
        <w:ind w:firstLine="720" w:start="2160" w:end="-1054"/>
        <w:jc w:val="both"/>
        <w:rPr>
          <w:b/>
          <w:bCs/>
          <w:sz w:val="22"/>
          <w:szCs w:val="22"/>
        </w:rPr>
      </w:pPr>
      <w:r>
        <w:rPr>
          <w:b/>
          <w:bCs/>
          <w:sz w:val="22"/>
          <w:szCs w:val="22"/>
        </w:rPr>
        <w:t>dated as of _________________</w:t>
      </w:r>
    </w:p>
    <w:p>
      <w:pPr>
        <w:pStyle w:val="Normal"/>
        <w:ind w:firstLine="720" w:start="2160" w:end="-1054"/>
        <w:jc w:val="both"/>
        <w:rPr>
          <w:b/>
          <w:bCs/>
          <w:sz w:val="22"/>
          <w:szCs w:val="22"/>
        </w:rPr>
      </w:pPr>
      <w:r>
        <w:rPr>
          <w:b/>
          <w:bCs/>
          <w:sz w:val="22"/>
          <w:szCs w:val="22"/>
        </w:rPr>
      </w:r>
    </w:p>
    <w:p>
      <w:pPr>
        <w:pStyle w:val="Normal"/>
        <w:ind w:end="-1054"/>
        <w:jc w:val="both"/>
        <w:rPr>
          <w:b/>
          <w:bCs/>
          <w:sz w:val="22"/>
          <w:szCs w:val="22"/>
        </w:rPr>
      </w:pPr>
      <w:r>
        <w:rPr>
          <w:b/>
          <w:bCs/>
          <w:sz w:val="22"/>
          <w:szCs w:val="22"/>
        </w:rPr>
      </w:r>
    </w:p>
    <w:p>
      <w:pPr>
        <w:pStyle w:val="Normal"/>
        <w:ind w:end="-1054"/>
        <w:jc w:val="both"/>
        <w:rPr>
          <w:sz w:val="22"/>
          <w:szCs w:val="22"/>
        </w:rPr>
      </w:pPr>
      <w:r>
        <w:rPr>
          <w:sz w:val="22"/>
          <w:szCs w:val="22"/>
        </w:rPr>
        <w:t>UBS AG, London Branch (“UBS”) and ECT Investment Trust (“ECT”) have entered and/or anticipate entering into one or more transactions (each a “Transaction”) that are or will be governed by the Standard Terms and Conditions of this Master Confirmation. Specific terms of each Transaction shall be further detailed and/or expressly modified in the form of a communication titled Supplemental Confirmation as per Annex A. The Master Confirmation and the Supplemental Confirmation shall together constitute a “Confirmation” as specified in the ISDA Master Agreement below and evidence a complete and binding agreement between the parties as to the subject matter and terms of the Transaction to which they relate. This Master Confirmation, taken alone, is neither a commitment by either party to enter into any Transaction nor evidence of a Transaction.</w:t>
      </w:r>
    </w:p>
    <w:p>
      <w:pPr>
        <w:pStyle w:val="Normal"/>
        <w:ind w:end="-1054"/>
        <w:jc w:val="both"/>
        <w:rPr>
          <w:sz w:val="22"/>
          <w:szCs w:val="22"/>
        </w:rPr>
      </w:pPr>
      <w:r>
        <w:rPr>
          <w:sz w:val="22"/>
          <w:szCs w:val="22"/>
        </w:rPr>
      </w:r>
    </w:p>
    <w:p>
      <w:pPr>
        <w:pStyle w:val="Normal"/>
        <w:ind w:end="-1054"/>
        <w:jc w:val="both"/>
        <w:rPr>
          <w:sz w:val="22"/>
          <w:szCs w:val="22"/>
        </w:rPr>
      </w:pPr>
      <w:r>
        <w:rPr>
          <w:sz w:val="22"/>
          <w:szCs w:val="22"/>
        </w:rPr>
        <w:t>Accordingingly the parties agree as follows:-</w:t>
      </w:r>
    </w:p>
    <w:p>
      <w:pPr>
        <w:pStyle w:val="Normal"/>
        <w:ind w:end="-1054"/>
        <w:jc w:val="both"/>
        <w:rPr>
          <w:sz w:val="22"/>
          <w:szCs w:val="22"/>
        </w:rPr>
      </w:pPr>
      <w:r>
        <w:rPr>
          <w:sz w:val="22"/>
          <w:szCs w:val="22"/>
        </w:rPr>
      </w:r>
    </w:p>
    <w:p>
      <w:pPr>
        <w:pStyle w:val="BodyText3"/>
        <w:rPr/>
      </w:pPr>
      <w:r>
        <w:rPr/>
        <w:t>1. Purpose. The purpose of this Master Confirmation together with the Supplemental Confirmation, (together the "Confirmation") is to confirm the terms and conditions of the swap transaction (“Swap”) entered into between us on the Trade Date specified in the relevant Supplemental Confirmation referred to herein as the “Transaction”). In the event of any inconsistency between the Supplemental Confirmation and this Master Confirmation, the Supplemental Confirmation shall govern.</w:t>
      </w:r>
    </w:p>
    <w:p>
      <w:pPr>
        <w:pStyle w:val="Normal"/>
        <w:ind w:end="-1054"/>
        <w:jc w:val="both"/>
        <w:rPr>
          <w:sz w:val="22"/>
          <w:szCs w:val="22"/>
        </w:rPr>
      </w:pPr>
      <w:r>
        <w:rPr>
          <w:sz w:val="22"/>
          <w:szCs w:val="22"/>
        </w:rPr>
      </w:r>
    </w:p>
    <w:p>
      <w:pPr>
        <w:pStyle w:val="Normal"/>
        <w:ind w:end="-1054"/>
        <w:jc w:val="both"/>
        <w:rPr>
          <w:sz w:val="22"/>
          <w:szCs w:val="22"/>
        </w:rPr>
      </w:pPr>
      <w:r>
        <w:rPr>
          <w:sz w:val="22"/>
          <w:szCs w:val="22"/>
        </w:rPr>
        <w:t>2. Definitions. The definitions and provisions contained in the 1991 ISDA Definitions (the "1991 Definitions") as amended and supplemented by the 1998 ISDA EURO Definitions and, in relation to the Option only, the 1997 Government Bond Option Definitions (the “1997 Definitions”), collectively (the “Definitions”), each as published by the International Swaps and Derivatives Association, Inc., are incorporated into this Master Confirmation.  In the event of any inconsistency between the 1991 Definitions and the 1997 Definitions, the 1997 Definitions will govern. In the event of any inconsistency between the Definitions and this Master Confirmation, this Master Confirmation will govern. For the purposes of the 1991 Definitions, all references to the Swap in this Confirmation shall also be deemed to be references to a Swap Transaction.</w:t>
      </w:r>
    </w:p>
    <w:p>
      <w:pPr>
        <w:pStyle w:val="Normal"/>
        <w:ind w:end="-1054"/>
        <w:jc w:val="both"/>
        <w:rPr>
          <w:sz w:val="22"/>
          <w:szCs w:val="22"/>
        </w:rPr>
      </w:pPr>
      <w:r>
        <w:rPr>
          <w:sz w:val="22"/>
          <w:szCs w:val="22"/>
        </w:rPr>
      </w:r>
    </w:p>
    <w:p>
      <w:pPr>
        <w:pStyle w:val="BodyText3"/>
        <w:rPr>
          <w:b/>
          <w:bCs/>
        </w:rPr>
      </w:pPr>
      <w:r>
        <w:rPr/>
        <w:t xml:space="preserve">3. Master Agreement. The Confirmation supplements, forms part of, and is subject to, the ISDA Master Agreement dated as of _________________ as amended and supplemented from time to time (the "Agreement"), between ECT and UBS.  All provisions contained in the Agreement govern the Confirmation except as expressly modified below. </w:t>
      </w:r>
    </w:p>
    <w:p>
      <w:pPr>
        <w:pStyle w:val="Normal"/>
        <w:ind w:end="-1054"/>
        <w:jc w:val="both"/>
        <w:rPr>
          <w:b/>
          <w:bCs/>
          <w:sz w:val="22"/>
          <w:szCs w:val="22"/>
        </w:rPr>
      </w:pPr>
      <w:r>
        <w:rPr>
          <w:b/>
          <w:bCs/>
          <w:sz w:val="22"/>
          <w:szCs w:val="22"/>
        </w:rPr>
      </w:r>
      <w:bookmarkStart w:id="0" w:name="ISDA"/>
      <w:bookmarkStart w:id="1" w:name="ISDA"/>
      <w:bookmarkEnd w:id="1"/>
    </w:p>
    <w:p>
      <w:pPr>
        <w:pStyle w:val="Normal"/>
        <w:ind w:end="-1054"/>
        <w:jc w:val="both"/>
        <w:rPr>
          <w:sz w:val="22"/>
          <w:szCs w:val="22"/>
        </w:rPr>
      </w:pPr>
      <w:r>
        <w:rPr>
          <w:sz w:val="22"/>
          <w:szCs w:val="22"/>
        </w:rPr>
        <w:t>The terms of the particular Transaction to which this confirmation relates to are as follows:</w:t>
      </w:r>
    </w:p>
    <w:p>
      <w:pPr>
        <w:pStyle w:val="Normal"/>
        <w:ind w:end="-1054"/>
        <w:jc w:val="both"/>
        <w:rPr>
          <w:sz w:val="22"/>
          <w:szCs w:val="22"/>
        </w:rPr>
      </w:pPr>
      <w:r>
        <w:rPr>
          <w:sz w:val="22"/>
          <w:szCs w:val="22"/>
        </w:rPr>
      </w:r>
    </w:p>
    <w:p>
      <w:pPr>
        <w:pStyle w:val="Heading6"/>
        <w:rPr>
          <w:u w:val="single"/>
        </w:rPr>
      </w:pPr>
      <w:r>
        <w:rPr>
          <w:u w:val="single"/>
        </w:rPr>
        <w:t>Definitions:</w:t>
      </w:r>
    </w:p>
    <w:p>
      <w:pPr>
        <w:pStyle w:val="Normal"/>
        <w:ind w:end="-1054"/>
        <w:jc w:val="both"/>
        <w:rPr>
          <w:sz w:val="22"/>
          <w:szCs w:val="22"/>
          <w:u w:val="single"/>
        </w:rPr>
      </w:pPr>
      <w:r>
        <w:rPr>
          <w:sz w:val="22"/>
          <w:szCs w:val="22"/>
          <w:u w:val="single"/>
        </w:rPr>
      </w:r>
    </w:p>
    <w:p>
      <w:pPr>
        <w:pStyle w:val="BodyTextIndent2"/>
        <w:ind w:hanging="2880" w:end="-1144"/>
        <w:jc w:val="both"/>
        <w:rPr>
          <w:lang w:val="en-US"/>
        </w:rPr>
      </w:pPr>
      <w:r>
        <w:rPr>
          <w:lang w:val="en-US"/>
        </w:rPr>
        <w:t>Asset Repayment Date:</w:t>
        <w:tab/>
        <w:t>Means any day during the term of the Transaction on which all of a Reference Entity’s payment obligations in respect of a Reference Asset, have been satisfied in full (other than pursuant to an Exchange).</w:t>
      </w:r>
    </w:p>
    <w:p>
      <w:pPr>
        <w:pStyle w:val="Header"/>
        <w:tabs>
          <w:tab w:val="clear" w:pos="4153"/>
          <w:tab w:val="clear" w:pos="8306"/>
        </w:tabs>
        <w:ind w:end="-1054"/>
        <w:jc w:val="both"/>
        <w:rPr>
          <w:lang w:val="en-US"/>
        </w:rPr>
      </w:pPr>
      <w:r>
        <w:rPr>
          <w:lang w:val="en-US"/>
        </w:rPr>
      </w:r>
    </w:p>
    <w:p>
      <w:pPr>
        <w:pStyle w:val="Normal"/>
        <w:tabs>
          <w:tab w:val="clear" w:pos="720"/>
          <w:tab w:val="left" w:pos="2880" w:leader="none"/>
        </w:tabs>
        <w:ind w:hanging="2880" w:start="2880" w:end="-1144"/>
        <w:jc w:val="both"/>
        <w:rPr>
          <w:sz w:val="22"/>
          <w:szCs w:val="22"/>
          <w:lang w:val="en-US"/>
        </w:rPr>
      </w:pPr>
      <w:r>
        <w:rPr>
          <w:sz w:val="22"/>
          <w:szCs w:val="22"/>
          <w:lang w:val="en-US"/>
        </w:rPr>
        <w:t>Breakage Costs:</w:t>
        <w:tab/>
        <w:t>Means, with respect to any optional early termination, the sum of amounts (which may be positive or negative) calculated in accordance with the following for each Borrowing under the Reference Loan:</w:t>
      </w:r>
    </w:p>
    <w:p>
      <w:pPr>
        <w:pStyle w:val="Normal"/>
        <w:tabs>
          <w:tab w:val="clear" w:pos="720"/>
          <w:tab w:val="left" w:pos="2880" w:leader="none"/>
        </w:tabs>
        <w:ind w:hanging="2880" w:start="2880" w:end="-1144"/>
        <w:jc w:val="both"/>
        <w:rPr>
          <w:sz w:val="22"/>
          <w:szCs w:val="22"/>
          <w:lang w:val="en-US"/>
        </w:rPr>
      </w:pPr>
      <w:r>
        <w:rPr>
          <w:sz w:val="22"/>
          <w:szCs w:val="22"/>
          <w:lang w:val="en-US"/>
        </w:rPr>
      </w:r>
    </w:p>
    <w:p>
      <w:pPr>
        <w:pStyle w:val="Normal"/>
        <w:tabs>
          <w:tab w:val="clear" w:pos="720"/>
          <w:tab w:val="left" w:pos="2880" w:leader="none"/>
        </w:tabs>
        <w:ind w:hanging="2880" w:start="2880" w:end="-1144"/>
        <w:jc w:val="both"/>
        <w:rPr>
          <w:sz w:val="22"/>
          <w:szCs w:val="22"/>
          <w:lang w:val="en-US"/>
        </w:rPr>
      </w:pPr>
      <w:r>
        <w:rPr>
          <w:sz w:val="22"/>
          <w:szCs w:val="22"/>
          <w:lang w:val="en-US"/>
        </w:rPr>
        <w:tab/>
        <w:t xml:space="preserve">(1) the Calculation Amount, </w:t>
      </w:r>
    </w:p>
    <w:p>
      <w:pPr>
        <w:pStyle w:val="Normal"/>
        <w:tabs>
          <w:tab w:val="clear" w:pos="720"/>
          <w:tab w:val="left" w:pos="2880" w:leader="none"/>
        </w:tabs>
        <w:ind w:hanging="2880" w:start="2880" w:end="-1144"/>
        <w:jc w:val="both"/>
        <w:rPr>
          <w:sz w:val="22"/>
          <w:szCs w:val="22"/>
          <w:lang w:val="en-US"/>
        </w:rPr>
      </w:pPr>
      <w:r>
        <w:rPr>
          <w:sz w:val="22"/>
          <w:szCs w:val="22"/>
          <w:lang w:val="en-US"/>
        </w:rPr>
        <w:tab/>
        <w:tab/>
        <w:t>multiplied by</w:t>
      </w:r>
    </w:p>
    <w:p>
      <w:pPr>
        <w:pStyle w:val="Normal"/>
        <w:tabs>
          <w:tab w:val="clear" w:pos="720"/>
          <w:tab w:val="left" w:pos="2880" w:leader="none"/>
        </w:tabs>
        <w:ind w:hanging="2880" w:start="2880" w:end="-1144"/>
        <w:jc w:val="both"/>
        <w:rPr>
          <w:sz w:val="22"/>
          <w:szCs w:val="22"/>
          <w:lang w:val="en-US"/>
        </w:rPr>
      </w:pPr>
      <w:r>
        <w:rPr>
          <w:sz w:val="22"/>
          <w:szCs w:val="22"/>
          <w:lang w:val="en-US"/>
        </w:rPr>
        <w:tab/>
        <w:t>(4) the Breakage Period,</w:t>
      </w:r>
    </w:p>
    <w:p>
      <w:pPr>
        <w:pStyle w:val="Normal"/>
        <w:tabs>
          <w:tab w:val="clear" w:pos="720"/>
          <w:tab w:val="left" w:pos="2880" w:leader="none"/>
        </w:tabs>
        <w:ind w:hanging="2880" w:start="2880" w:end="-1144"/>
        <w:jc w:val="both"/>
        <w:rPr>
          <w:sz w:val="22"/>
          <w:szCs w:val="22"/>
          <w:lang w:val="en-US"/>
        </w:rPr>
      </w:pPr>
      <w:r>
        <w:rPr>
          <w:sz w:val="22"/>
          <w:szCs w:val="22"/>
          <w:lang w:val="en-US"/>
        </w:rPr>
        <w:tab/>
        <w:tab/>
        <w:t>multiplied by</w:t>
      </w:r>
    </w:p>
    <w:p>
      <w:pPr>
        <w:pStyle w:val="Normal"/>
        <w:tabs>
          <w:tab w:val="clear" w:pos="720"/>
          <w:tab w:val="left" w:pos="2880" w:leader="none"/>
        </w:tabs>
        <w:ind w:hanging="2880" w:start="2880" w:end="-1144"/>
        <w:jc w:val="both"/>
        <w:rPr>
          <w:sz w:val="22"/>
          <w:szCs w:val="22"/>
          <w:lang w:val="en-US"/>
        </w:rPr>
      </w:pPr>
      <w:r>
        <w:rPr>
          <w:sz w:val="22"/>
          <w:szCs w:val="22"/>
          <w:lang w:val="en-US"/>
        </w:rPr>
        <w:tab/>
        <w:t>(5) the Current Floating Rate.</w:t>
      </w:r>
    </w:p>
    <w:p>
      <w:pPr>
        <w:pStyle w:val="Normal"/>
        <w:tabs>
          <w:tab w:val="clear" w:pos="720"/>
          <w:tab w:val="left" w:pos="2880" w:leader="none"/>
        </w:tabs>
        <w:ind w:hanging="2880" w:start="2880" w:end="-1144"/>
        <w:jc w:val="both"/>
        <w:rPr>
          <w:sz w:val="22"/>
          <w:szCs w:val="22"/>
          <w:lang w:val="en-US"/>
        </w:rPr>
      </w:pPr>
      <w:r>
        <w:rPr>
          <w:sz w:val="22"/>
          <w:szCs w:val="22"/>
          <w:lang w:val="en-US"/>
        </w:rPr>
        <w:tab/>
        <w:tab/>
        <w:t>MINUS</w:t>
      </w:r>
    </w:p>
    <w:p>
      <w:pPr>
        <w:pStyle w:val="Normal"/>
        <w:tabs>
          <w:tab w:val="clear" w:pos="720"/>
          <w:tab w:val="left" w:pos="2880" w:leader="none"/>
        </w:tabs>
        <w:ind w:hanging="2880" w:start="2880" w:end="-1144"/>
        <w:jc w:val="both"/>
        <w:rPr>
          <w:sz w:val="22"/>
          <w:szCs w:val="22"/>
          <w:lang w:val="en-US"/>
        </w:rPr>
      </w:pPr>
      <w:r>
        <w:rPr>
          <w:sz w:val="22"/>
          <w:szCs w:val="22"/>
          <w:lang w:val="en-US"/>
        </w:rPr>
        <w:tab/>
        <w:t>(A) the Calculation Amount,</w:t>
      </w:r>
    </w:p>
    <w:p>
      <w:pPr>
        <w:pStyle w:val="Normal"/>
        <w:tabs>
          <w:tab w:val="clear" w:pos="720"/>
          <w:tab w:val="left" w:pos="2880" w:leader="none"/>
        </w:tabs>
        <w:ind w:hanging="2880" w:start="2880" w:end="-1144"/>
        <w:jc w:val="both"/>
        <w:rPr>
          <w:sz w:val="22"/>
          <w:szCs w:val="22"/>
          <w:lang w:val="en-US"/>
        </w:rPr>
      </w:pPr>
      <w:r>
        <w:rPr>
          <w:sz w:val="22"/>
          <w:szCs w:val="22"/>
          <w:lang w:val="en-US"/>
        </w:rPr>
        <w:tab/>
        <w:tab/>
        <w:t>multiplied by</w:t>
      </w:r>
    </w:p>
    <w:p>
      <w:pPr>
        <w:pStyle w:val="Normal"/>
        <w:tabs>
          <w:tab w:val="clear" w:pos="720"/>
          <w:tab w:val="left" w:pos="2880" w:leader="none"/>
        </w:tabs>
        <w:ind w:hanging="2880" w:start="2880" w:end="-1144"/>
        <w:jc w:val="both"/>
        <w:rPr>
          <w:sz w:val="22"/>
          <w:szCs w:val="22"/>
          <w:lang w:val="en-US"/>
        </w:rPr>
      </w:pPr>
      <w:r>
        <w:rPr>
          <w:sz w:val="22"/>
          <w:szCs w:val="22"/>
          <w:lang w:val="en-US"/>
        </w:rPr>
        <w:tab/>
        <w:t>(D) the Breakage Period,</w:t>
      </w:r>
    </w:p>
    <w:p>
      <w:pPr>
        <w:pStyle w:val="Normal"/>
        <w:tabs>
          <w:tab w:val="clear" w:pos="720"/>
          <w:tab w:val="left" w:pos="2880" w:leader="none"/>
        </w:tabs>
        <w:ind w:hanging="2880" w:start="2880" w:end="-1144"/>
        <w:jc w:val="both"/>
        <w:rPr>
          <w:sz w:val="22"/>
          <w:szCs w:val="22"/>
          <w:lang w:val="en-US"/>
        </w:rPr>
      </w:pPr>
      <w:r>
        <w:rPr>
          <w:sz w:val="22"/>
          <w:szCs w:val="22"/>
          <w:lang w:val="en-US"/>
        </w:rPr>
        <w:tab/>
        <w:tab/>
        <w:t>multiplied by</w:t>
      </w:r>
    </w:p>
    <w:p>
      <w:pPr>
        <w:pStyle w:val="Normal"/>
        <w:tabs>
          <w:tab w:val="clear" w:pos="720"/>
          <w:tab w:val="left" w:pos="2880" w:leader="none"/>
        </w:tabs>
        <w:ind w:hanging="2880" w:start="2880" w:end="-1144"/>
        <w:jc w:val="both"/>
        <w:rPr>
          <w:sz w:val="22"/>
          <w:szCs w:val="22"/>
          <w:lang w:val="en-US"/>
        </w:rPr>
      </w:pPr>
      <w:r>
        <w:rPr>
          <w:sz w:val="22"/>
          <w:szCs w:val="22"/>
          <w:lang w:val="en-US"/>
        </w:rPr>
        <w:tab/>
        <w:t>(E) the Breakage Rate.</w:t>
      </w:r>
    </w:p>
    <w:p>
      <w:pPr>
        <w:pStyle w:val="Normal"/>
        <w:tabs>
          <w:tab w:val="clear" w:pos="720"/>
          <w:tab w:val="left" w:pos="2880" w:leader="none"/>
        </w:tabs>
        <w:ind w:hanging="2880" w:start="2880" w:end="-1144"/>
        <w:jc w:val="both"/>
        <w:rPr>
          <w:sz w:val="22"/>
          <w:szCs w:val="22"/>
          <w:lang w:val="en-US"/>
        </w:rPr>
      </w:pPr>
      <w:r>
        <w:rPr>
          <w:sz w:val="22"/>
          <w:szCs w:val="22"/>
          <w:lang w:val="en-US"/>
        </w:rPr>
      </w:r>
    </w:p>
    <w:p>
      <w:pPr>
        <w:pStyle w:val="Normal"/>
        <w:tabs>
          <w:tab w:val="clear" w:pos="720"/>
          <w:tab w:val="left" w:pos="2880" w:leader="none"/>
        </w:tabs>
        <w:ind w:hanging="2880" w:start="2880" w:end="-1144"/>
        <w:jc w:val="both"/>
        <w:rPr>
          <w:sz w:val="22"/>
          <w:szCs w:val="22"/>
          <w:lang w:val="en-US"/>
        </w:rPr>
      </w:pPr>
      <w:r>
        <w:rPr>
          <w:sz w:val="22"/>
          <w:szCs w:val="22"/>
          <w:lang w:val="en-US"/>
        </w:rPr>
        <w:t>Breakage Period:</w:t>
        <w:tab/>
        <w:t>Means, the actual number of days in the current Floating Rate Payer Calculation Period from and including the Immediately Preceding Period end to the next Period End Date (not to be adjusted for an early termination., divided by 360.</w:t>
      </w:r>
    </w:p>
    <w:p>
      <w:pPr>
        <w:pStyle w:val="Normal"/>
        <w:tabs>
          <w:tab w:val="clear" w:pos="720"/>
          <w:tab w:val="left" w:pos="2880" w:leader="none"/>
        </w:tabs>
        <w:ind w:hanging="2880" w:start="2880" w:end="-1144"/>
        <w:jc w:val="both"/>
        <w:rPr>
          <w:sz w:val="22"/>
          <w:szCs w:val="22"/>
          <w:lang w:val="en-US"/>
        </w:rPr>
      </w:pPr>
      <w:r>
        <w:rPr>
          <w:sz w:val="22"/>
          <w:szCs w:val="22"/>
          <w:lang w:val="en-US"/>
        </w:rPr>
      </w:r>
    </w:p>
    <w:p>
      <w:pPr>
        <w:pStyle w:val="Normal"/>
        <w:tabs>
          <w:tab w:val="clear" w:pos="720"/>
          <w:tab w:val="left" w:pos="2880" w:leader="none"/>
        </w:tabs>
        <w:ind w:hanging="2880" w:start="2880" w:end="-1144"/>
        <w:jc w:val="both"/>
        <w:rPr>
          <w:sz w:val="22"/>
          <w:szCs w:val="22"/>
          <w:lang w:val="en-US"/>
        </w:rPr>
      </w:pPr>
      <w:r>
        <w:rPr>
          <w:sz w:val="22"/>
          <w:szCs w:val="22"/>
          <w:lang w:val="en-US"/>
        </w:rPr>
        <w:t>Breakage Rate:</w:t>
        <w:tab/>
        <w:t>Means, a rate of interest equal to [USD]-LIBOR-BBA as of such Optional Early Termination with a Designated Maturity equal to the number of months between the date of such Optional Early Termination Date and the day on which such Borrowing is due (subject to Linear Interpolation).</w:t>
      </w:r>
    </w:p>
    <w:p>
      <w:pPr>
        <w:pStyle w:val="Normal"/>
        <w:ind w:hanging="2880" w:start="2880" w:end="-1054"/>
        <w:jc w:val="both"/>
        <w:rPr>
          <w:sz w:val="22"/>
          <w:szCs w:val="22"/>
          <w:lang w:val="en-US"/>
        </w:rPr>
      </w:pPr>
      <w:r>
        <w:rPr>
          <w:sz w:val="22"/>
          <w:szCs w:val="22"/>
          <w:lang w:val="en-US"/>
        </w:rPr>
      </w:r>
    </w:p>
    <w:p>
      <w:pPr>
        <w:pStyle w:val="Normal"/>
        <w:ind w:hanging="2880" w:start="2880" w:end="-1054"/>
        <w:jc w:val="both"/>
        <w:rPr/>
      </w:pPr>
      <w:r>
        <w:rPr>
          <w:sz w:val="22"/>
          <w:szCs w:val="22"/>
        </w:rPr>
        <w:t>Business Day Convention:</w:t>
        <w:tab/>
        <w:t>Modified</w:t>
      </w:r>
      <w:r>
        <w:rPr>
          <w:b/>
          <w:bCs/>
          <w:i/>
          <w:iCs/>
          <w:sz w:val="22"/>
          <w:szCs w:val="22"/>
        </w:rPr>
        <w:t xml:space="preserve"> </w:t>
      </w:r>
      <w:r>
        <w:rPr>
          <w:sz w:val="22"/>
          <w:szCs w:val="22"/>
        </w:rPr>
        <w:t>Following (which shall apply to any date referred to herein that falls on a day that is not a Business Day)</w:t>
      </w:r>
    </w:p>
    <w:p>
      <w:pPr>
        <w:pStyle w:val="Normal"/>
        <w:tabs>
          <w:tab w:val="clear" w:pos="720"/>
          <w:tab w:val="left" w:pos="-720" w:leader="none"/>
          <w:tab w:val="left" w:pos="2880" w:leader="none"/>
        </w:tabs>
        <w:ind w:end="-1144"/>
        <w:jc w:val="both"/>
        <w:rPr>
          <w:sz w:val="22"/>
          <w:szCs w:val="22"/>
          <w:lang w:val="en-US"/>
        </w:rPr>
      </w:pPr>
      <w:r>
        <w:rPr>
          <w:sz w:val="22"/>
          <w:szCs w:val="22"/>
          <w:lang w:val="en-US"/>
        </w:rPr>
      </w:r>
    </w:p>
    <w:p>
      <w:pPr>
        <w:pStyle w:val="Normal"/>
        <w:tabs>
          <w:tab w:val="clear" w:pos="720"/>
          <w:tab w:val="left" w:pos="-720" w:leader="none"/>
          <w:tab w:val="left" w:pos="2880" w:leader="none"/>
        </w:tabs>
        <w:ind w:hanging="2880" w:start="2880" w:end="-1144"/>
        <w:jc w:val="both"/>
        <w:rPr>
          <w:sz w:val="22"/>
          <w:szCs w:val="22"/>
          <w:lang w:val="en-US"/>
        </w:rPr>
      </w:pPr>
      <w:r>
        <w:rPr>
          <w:sz w:val="22"/>
          <w:szCs w:val="22"/>
          <w:lang w:val="en-US"/>
        </w:rPr>
        <w:t>Calculation Agent:</w:t>
        <w:tab/>
        <w:t>UBS AG, London Branch, acting in good faith and in a commercially reasonable manner</w:t>
      </w:r>
    </w:p>
    <w:p>
      <w:pPr>
        <w:pStyle w:val="Normal"/>
        <w:tabs>
          <w:tab w:val="clear" w:pos="720"/>
          <w:tab w:val="left" w:pos="-720" w:leader="none"/>
          <w:tab w:val="left" w:pos="2880" w:leader="none"/>
        </w:tabs>
        <w:ind w:hanging="2880" w:start="2880" w:end="-1144"/>
        <w:jc w:val="both"/>
        <w:rPr>
          <w:sz w:val="22"/>
          <w:szCs w:val="22"/>
          <w:lang w:val="en-US"/>
        </w:rPr>
      </w:pPr>
      <w:r>
        <w:rPr>
          <w:sz w:val="22"/>
          <w:szCs w:val="22"/>
          <w:lang w:val="en-US"/>
        </w:rPr>
      </w:r>
    </w:p>
    <w:p>
      <w:pPr>
        <w:pStyle w:val="Normal"/>
        <w:tabs>
          <w:tab w:val="clear" w:pos="720"/>
          <w:tab w:val="left" w:pos="-720" w:leader="none"/>
          <w:tab w:val="left" w:pos="2880" w:leader="none"/>
        </w:tabs>
        <w:ind w:hanging="2880" w:start="2880" w:end="-1144"/>
        <w:jc w:val="both"/>
        <w:rPr>
          <w:sz w:val="22"/>
          <w:szCs w:val="22"/>
          <w:lang w:val="en-US"/>
        </w:rPr>
      </w:pPr>
      <w:r>
        <w:rPr>
          <w:sz w:val="22"/>
          <w:szCs w:val="22"/>
          <w:lang w:val="en-US"/>
        </w:rPr>
        <w:t>Exchange:</w:t>
        <w:tab/>
        <w:t>Means any exchange by the Issuer of the Reference Asset for a New Asset or a package of New Assets.</w:t>
      </w:r>
    </w:p>
    <w:p>
      <w:pPr>
        <w:pStyle w:val="Normal"/>
        <w:tabs>
          <w:tab w:val="clear" w:pos="720"/>
          <w:tab w:val="left" w:pos="2880" w:leader="none"/>
        </w:tabs>
        <w:ind w:start="720" w:end="-1144"/>
        <w:jc w:val="both"/>
        <w:rPr>
          <w:sz w:val="22"/>
          <w:szCs w:val="22"/>
          <w:lang w:val="en-US"/>
        </w:rPr>
      </w:pPr>
      <w:r>
        <w:rPr>
          <w:sz w:val="22"/>
          <w:szCs w:val="22"/>
          <w:lang w:val="en-US"/>
        </w:rPr>
      </w:r>
    </w:p>
    <w:p>
      <w:pPr>
        <w:pStyle w:val="BodyTextIndent2"/>
        <w:ind w:hanging="2880" w:end="-1054"/>
        <w:jc w:val="both"/>
        <w:rPr/>
      </w:pPr>
      <w:r>
        <w:rPr/>
        <w:t>Market Value:</w:t>
        <w:tab/>
        <w:t>(a)</w:t>
        <w:tab/>
        <w:t xml:space="preserve">In respect of all Valuation Dates other than the Final Valuation Date, the [bid] side price of the Reference Asset, for a principal amount equal to the Notional Amount on such day, including accrued and unpaid interest, if consistent with current market practice, through such Valuation Date (expressed as a percentage of the par amount thereof), as determined as of 10:00 a.m., New York time, three Business Days immediately preceding the relevant Valuation Date, by the Calculation Agent in its sole discretion. </w:t>
      </w:r>
    </w:p>
    <w:p>
      <w:pPr>
        <w:pStyle w:val="BodyTextIndent2"/>
        <w:ind w:hanging="2880" w:end="-1054"/>
        <w:jc w:val="both"/>
        <w:rPr/>
      </w:pPr>
      <w:r>
        <w:rPr/>
        <w:tab/>
        <w:t>(b)</w:t>
        <w:tab/>
        <w:t>In respect of the Final Valuation Date, the [bid] side price of the Reference Asset, for a principal amount equal to the Notional Amount on such date, including accrued and unpaid interest, if consistent with current market practice, through the Termination Date (expressed as a percentage of the par amount thereof), as determined as of 10:00 a.m., New York time, on the third Business Day immediately preceding the Termination Date, by the Calculation Agent in its sole discretion.  The Market Value shall be notified to [Customer] no later than 10:15 a.m. on such day (such notice being given telephonically with written confirmation by fax); provided always that such determination is agreed by [Customer] (such agreement will be deemed to exist if [Customer] does not notify UBS of the contrary (any such notification to be given telephonically and with written confirmation by fax) within three hours (provided that UBS may change its Market Value as described above for any reason, when customer provides such notice, or at any time during such three hours) of the notification of Market Value to [Customer].  If [Customer] does not agree with the Calculation Agent's determination of the Market Value and provides notification to UBS in accordance with the previous sentence, then [Customer] at the time such notice is provided  shall be required to make a firm [bid], either on its own behalf or on behalf of another party acceptable to UBS in its reasonable judgement, (expressed as a percentage of the par amount of the Reference Asset and including accrued but unpaid interest through the Termination Date), to purchase on the Termination Date Reference Assets with a principle amount equal to the Notional Amount, and Market Value shall mean such firm bid price.</w:t>
      </w:r>
    </w:p>
    <w:p>
      <w:pPr>
        <w:pStyle w:val="BodyTextIndent2"/>
        <w:ind w:hanging="2880" w:end="-1054"/>
        <w:jc w:val="both"/>
        <w:rPr/>
      </w:pPr>
      <w:r>
        <w:rPr/>
      </w:r>
    </w:p>
    <w:p>
      <w:pPr>
        <w:pStyle w:val="BodyTextIndent2"/>
        <w:numPr>
          <w:ilvl w:val="0"/>
          <w:numId w:val="2"/>
        </w:numPr>
        <w:tabs>
          <w:tab w:val="clear" w:pos="2880"/>
          <w:tab w:val="left" w:pos="0" w:leader="none"/>
        </w:tabs>
        <w:ind w:hanging="2880" w:start="5760" w:end="-1054"/>
        <w:jc w:val="both"/>
        <w:rPr/>
      </w:pPr>
      <w:r>
        <w:rPr/>
        <w:t>Notwithstanding the foregoing, for the purpose of calculating Market Value, if the Reference Asset comprises one or more New Assets, Market Value will mean the amount calculated by the Calculation Agent as follows and expressed as a percentage: (i) the aggregate value (as determined in U.S. Dollars, in each case in a commercially reasonable manner by the Calculation Agent), as of the relevant date specified in subsection (a) or (b) of the definition of "Market Value", of the amount of New Assets (including any cash) which would have been produced pursuant to the terms of the relevant Exchange by the exchange of $1 million in face or principal amount of the Reference Asset, divided by (ii) US$1 million.  Solely in the case of the determination of the Market Value in respect of the final Calculation Period, Market Value shall be notified to [Customer] no later than 10:15 a.m. on the relevant day (such notice being given telephonically with written confirmation by fax); provided always that such determination is agreed by [Customer] (such agreement will be deemed to exist if [Customer] does not notify the UBS of the contrary (any such notification to be given telephonically with written confirmation by fax) within three hours (provided that UBS may change its Market Value as described above for any reason, when customer provides such notice, or at any time during such three hours) of the notification of such Market Value to [Customer]). If [Customer] does not agree with the Calculation Agent's determination of the Market Value and provides notification to UBS in accordance with the previous sentence, then [Customer] at the time such notice is provided shall be required to make a firm [bid] (expressed as a U.S. Dollar amount and including accrued but unpaid interest through the Termination Date, if consistent with current market practice, for any of the New Asset(s) which are debt securities), to purchase on the Termination Date an amount of New Asset(s) (including any cash) which would have been produced pursuant to the Exchange by the exchange of an amount of assets equal to the Notional Amount, and Market Value shall mean such firm [bid] value divided by the Notional Amount and expressed as a percentage.</w:t>
      </w:r>
    </w:p>
    <w:p>
      <w:pPr>
        <w:pStyle w:val="Normal"/>
        <w:tabs>
          <w:tab w:val="clear" w:pos="720"/>
          <w:tab w:val="left" w:pos="2880" w:leader="none"/>
        </w:tabs>
        <w:ind w:hanging="2880" w:start="2880" w:end="-1144"/>
        <w:jc w:val="both"/>
        <w:rPr>
          <w:sz w:val="22"/>
          <w:szCs w:val="22"/>
          <w:lang w:val="en-US"/>
        </w:rPr>
      </w:pPr>
      <w:r>
        <w:rPr>
          <w:sz w:val="22"/>
          <w:szCs w:val="22"/>
          <w:lang w:val="en-US"/>
        </w:rPr>
      </w:r>
    </w:p>
    <w:p>
      <w:pPr>
        <w:pStyle w:val="BlockText"/>
        <w:rPr/>
      </w:pPr>
      <w:r>
        <w:rPr/>
        <w:t>Notional Amount:</w:t>
        <w:tab/>
        <w:t>For any day during the term of this Transaction the aggregate of all Asset Notional Amounts for all swaps referencing this Master Confirm (as reduced by Principle Reductions, if any)</w:t>
      </w:r>
    </w:p>
    <w:p>
      <w:pPr>
        <w:pStyle w:val="Header"/>
        <w:tabs>
          <w:tab w:val="clear" w:pos="4153"/>
          <w:tab w:val="clear" w:pos="8306"/>
        </w:tabs>
        <w:ind w:end="-1054"/>
        <w:jc w:val="both"/>
        <w:rPr/>
      </w:pPr>
      <w:r>
        <w:rPr/>
        <w:tab/>
        <w:tab/>
        <w:tab/>
        <w:tab/>
      </w:r>
    </w:p>
    <w:p>
      <w:pPr>
        <w:pStyle w:val="BodyText2"/>
        <w:tabs>
          <w:tab w:val="clear" w:pos="2880"/>
          <w:tab w:val="left" w:pos="-720" w:leader="none"/>
        </w:tabs>
        <w:ind w:end="-1054"/>
        <w:rPr>
          <w:color w:val="auto"/>
          <w:sz w:val="22"/>
          <w:szCs w:val="22"/>
          <w:lang w:val="en-GB"/>
        </w:rPr>
      </w:pPr>
      <w:r>
        <w:rPr>
          <w:color w:val="auto"/>
          <w:sz w:val="22"/>
          <w:szCs w:val="22"/>
          <w:lang w:val="en-GB"/>
        </w:rPr>
        <w:t>Preceding Market Value:</w:t>
        <w:tab/>
        <w:t xml:space="preserve">Means the Market Value on the previous Valuation Date, provided that for the first Valuation Date, Preceding Market Value shall be the Initial Price for such Reference Asset, as specified in Annex I attached hereto. </w:t>
        <w:tab/>
      </w:r>
    </w:p>
    <w:p>
      <w:pPr>
        <w:pStyle w:val="Normal"/>
        <w:tabs>
          <w:tab w:val="clear" w:pos="720"/>
          <w:tab w:val="left" w:pos="2880" w:leader="none"/>
        </w:tabs>
        <w:ind w:end="-1144"/>
        <w:jc w:val="both"/>
        <w:rPr>
          <w:color w:val="auto"/>
          <w:sz w:val="22"/>
          <w:szCs w:val="22"/>
          <w:lang w:val="en-US"/>
        </w:rPr>
      </w:pPr>
      <w:r>
        <w:rPr>
          <w:color w:val="auto"/>
          <w:sz w:val="22"/>
          <w:szCs w:val="22"/>
          <w:lang w:val="en-US"/>
        </w:rPr>
      </w:r>
    </w:p>
    <w:p>
      <w:pPr>
        <w:pStyle w:val="Normal"/>
        <w:tabs>
          <w:tab w:val="clear" w:pos="720"/>
          <w:tab w:val="left" w:pos="2880" w:leader="none"/>
        </w:tabs>
        <w:ind w:hanging="2880" w:start="2880" w:end="-1144"/>
        <w:jc w:val="both"/>
        <w:rPr>
          <w:sz w:val="22"/>
          <w:szCs w:val="22"/>
          <w:lang w:val="en-US"/>
        </w:rPr>
      </w:pPr>
      <w:r>
        <w:rPr>
          <w:sz w:val="22"/>
          <w:szCs w:val="22"/>
          <w:lang w:val="en-US"/>
        </w:rPr>
        <w:t>New Asset:</w:t>
        <w:tab/>
        <w:t>Means, with respect to the Reference Asset, any security, obligation or asset (including cash) transferred to holders of the Reference Asset as part of an Exchange.</w:t>
      </w:r>
    </w:p>
    <w:p>
      <w:pPr>
        <w:pStyle w:val="BodyText2"/>
        <w:tabs>
          <w:tab w:val="clear" w:pos="2880"/>
          <w:tab w:val="left" w:pos="-720" w:leader="none"/>
        </w:tabs>
        <w:ind w:hanging="0" w:start="0" w:end="-1054"/>
        <w:rPr>
          <w:color w:val="auto"/>
          <w:sz w:val="22"/>
          <w:szCs w:val="22"/>
          <w:lang w:val="en-GB"/>
        </w:rPr>
      </w:pPr>
      <w:r>
        <w:rPr>
          <w:color w:val="auto"/>
          <w:sz w:val="22"/>
          <w:szCs w:val="22"/>
          <w:lang w:val="en-GB"/>
        </w:rPr>
      </w:r>
    </w:p>
    <w:p>
      <w:pPr>
        <w:pStyle w:val="BodyText2"/>
        <w:tabs>
          <w:tab w:val="clear" w:pos="2880"/>
          <w:tab w:val="left" w:pos="-720" w:leader="none"/>
        </w:tabs>
        <w:ind w:end="-1054"/>
        <w:rPr>
          <w:color w:val="auto"/>
          <w:sz w:val="22"/>
          <w:szCs w:val="22"/>
          <w:lang w:val="en-GB"/>
        </w:rPr>
      </w:pPr>
      <w:r>
        <w:rPr>
          <w:color w:val="auto"/>
          <w:sz w:val="22"/>
          <w:szCs w:val="22"/>
          <w:lang w:val="en-GB"/>
        </w:rPr>
        <w:t>Preceding Market Value:</w:t>
        <w:tab/>
        <w:t xml:space="preserve">Means the Market Value on the previous Valuation Date, provided that for the first Valuation Date, Preceding Market Value shall be the Initial Price for such Reference Asset, as specified in Annex I attached hereto. </w:t>
        <w:tab/>
      </w:r>
    </w:p>
    <w:p>
      <w:pPr>
        <w:pStyle w:val="Normal"/>
        <w:tabs>
          <w:tab w:val="clear" w:pos="720"/>
          <w:tab w:val="left" w:pos="2880" w:leader="none"/>
        </w:tabs>
        <w:ind w:hanging="2880" w:start="2880" w:end="-1144"/>
        <w:jc w:val="both"/>
        <w:rPr>
          <w:color w:val="auto"/>
          <w:sz w:val="22"/>
          <w:szCs w:val="22"/>
          <w:lang w:val="en-US"/>
        </w:rPr>
      </w:pPr>
      <w:r>
        <w:rPr>
          <w:color w:val="auto"/>
          <w:sz w:val="22"/>
          <w:szCs w:val="22"/>
          <w:lang w:val="en-US"/>
        </w:rPr>
      </w:r>
    </w:p>
    <w:p>
      <w:pPr>
        <w:pStyle w:val="Normal"/>
        <w:tabs>
          <w:tab w:val="clear" w:pos="720"/>
          <w:tab w:val="left" w:pos="2880" w:leader="none"/>
        </w:tabs>
        <w:ind w:hanging="2880" w:start="2880" w:end="-1144"/>
        <w:jc w:val="both"/>
        <w:rPr>
          <w:sz w:val="22"/>
          <w:szCs w:val="22"/>
          <w:lang w:val="en-US"/>
        </w:rPr>
      </w:pPr>
      <w:r>
        <w:rPr>
          <w:sz w:val="22"/>
          <w:szCs w:val="22"/>
          <w:lang w:val="en-US"/>
        </w:rPr>
        <w:t>Repayment:</w:t>
        <w:tab/>
        <w:t xml:space="preserve">Any reduction in the outstanding principle amount of the Reference Asset pursuant to a call, tender, amortization or any other permanent reduction in the outstanding principle amount of the Reference Asset (other than any reduction due to an Exchange) </w:t>
      </w:r>
    </w:p>
    <w:p>
      <w:pPr>
        <w:pStyle w:val="Normal"/>
        <w:tabs>
          <w:tab w:val="clear" w:pos="720"/>
          <w:tab w:val="left" w:pos="2880" w:leader="none"/>
        </w:tabs>
        <w:ind w:end="-1144"/>
        <w:jc w:val="both"/>
        <w:rPr>
          <w:sz w:val="22"/>
          <w:szCs w:val="22"/>
          <w:lang w:val="en-US"/>
        </w:rPr>
      </w:pPr>
      <w:r>
        <w:rPr>
          <w:sz w:val="22"/>
          <w:szCs w:val="22"/>
          <w:lang w:val="en-US"/>
        </w:rPr>
      </w:r>
    </w:p>
    <w:p>
      <w:pPr>
        <w:pStyle w:val="Normal"/>
        <w:tabs>
          <w:tab w:val="clear" w:pos="720"/>
          <w:tab w:val="left" w:pos="2880" w:leader="none"/>
        </w:tabs>
        <w:ind w:hanging="2880" w:start="2880" w:end="-1144"/>
        <w:jc w:val="both"/>
        <w:rPr>
          <w:sz w:val="22"/>
          <w:szCs w:val="22"/>
          <w:lang w:val="en-US"/>
        </w:rPr>
      </w:pPr>
      <w:r>
        <w:rPr>
          <w:sz w:val="22"/>
          <w:szCs w:val="22"/>
          <w:lang w:val="en-US"/>
        </w:rPr>
        <w:t>Repayment Date:</w:t>
        <w:tab/>
        <w:t>With respect to the Reference Asset, any day during the Term of this Transaction on which the Fixed Rate Payer has received a payment in regard to a Repayment.</w:t>
      </w:r>
    </w:p>
    <w:p>
      <w:pPr>
        <w:pStyle w:val="Normal"/>
        <w:tabs>
          <w:tab w:val="clear" w:pos="720"/>
          <w:tab w:val="left" w:pos="2880" w:leader="none"/>
        </w:tabs>
        <w:ind w:end="-1144"/>
        <w:jc w:val="both"/>
        <w:rPr>
          <w:sz w:val="22"/>
          <w:szCs w:val="22"/>
          <w:lang w:val="en-US"/>
        </w:rPr>
      </w:pPr>
      <w:r>
        <w:rPr>
          <w:sz w:val="22"/>
          <w:szCs w:val="22"/>
          <w:lang w:val="en-US"/>
        </w:rPr>
      </w:r>
    </w:p>
    <w:p>
      <w:pPr>
        <w:pStyle w:val="Normal"/>
        <w:tabs>
          <w:tab w:val="clear" w:pos="720"/>
          <w:tab w:val="left" w:pos="2880" w:leader="none"/>
        </w:tabs>
        <w:ind w:hanging="2880" w:start="2880" w:end="-1144"/>
        <w:jc w:val="both"/>
        <w:rPr>
          <w:sz w:val="22"/>
          <w:szCs w:val="22"/>
          <w:lang w:val="en-US"/>
        </w:rPr>
      </w:pPr>
      <w:r>
        <w:rPr>
          <w:sz w:val="22"/>
          <w:szCs w:val="22"/>
          <w:lang w:val="en-US"/>
        </w:rPr>
        <w:t>Repayment Price:</w:t>
        <w:tab/>
        <w:t>(i) any actual cash payment made by the Issuer of such Swap Reference Security pursuant to a call, tender, amortization, or any other permanent reduction in the outstanding principal amount of such Reference Asset (other than any cash payment in regard to an Exchange or any interest payments made in regard to such reduction) divided by (ii) the Repayment, expressed as a percentage.</w:t>
      </w:r>
    </w:p>
    <w:p>
      <w:pPr>
        <w:pStyle w:val="Normal"/>
        <w:ind w:end="-1054"/>
        <w:jc w:val="both"/>
        <w:rPr>
          <w:sz w:val="22"/>
          <w:szCs w:val="22"/>
          <w:lang w:val="en-US"/>
        </w:rPr>
      </w:pPr>
      <w:r>
        <w:rPr>
          <w:sz w:val="22"/>
          <w:szCs w:val="22"/>
          <w:lang w:val="en-US"/>
        </w:rPr>
      </w:r>
    </w:p>
    <w:p>
      <w:pPr>
        <w:pStyle w:val="Normal"/>
        <w:ind w:end="-1054"/>
        <w:jc w:val="both"/>
        <w:rPr>
          <w:sz w:val="22"/>
          <w:szCs w:val="22"/>
        </w:rPr>
      </w:pPr>
      <w:r>
        <w:rPr>
          <w:sz w:val="22"/>
          <w:szCs w:val="22"/>
        </w:rPr>
        <w:t>Termination Date:</w:t>
        <w:tab/>
        <w:tab/>
        <w:t>The earlier of:</w:t>
      </w:r>
    </w:p>
    <w:p>
      <w:pPr>
        <w:pStyle w:val="Normal"/>
        <w:ind w:start="2880" w:end="-1054"/>
        <w:jc w:val="both"/>
        <w:rPr>
          <w:sz w:val="22"/>
          <w:szCs w:val="22"/>
        </w:rPr>
      </w:pPr>
      <w:r>
        <w:rPr>
          <w:sz w:val="22"/>
          <w:szCs w:val="22"/>
        </w:rPr>
        <w:t>(i)    the Scheduled Termination Date; (ii) the Asset Repayment Date, if any; the Optional Early Termination Date, if any.</w:t>
      </w:r>
    </w:p>
    <w:p>
      <w:pPr>
        <w:pStyle w:val="BodyText2"/>
        <w:tabs>
          <w:tab w:val="clear" w:pos="2880"/>
          <w:tab w:val="left" w:pos="-720" w:leader="none"/>
        </w:tabs>
        <w:ind w:end="-1054"/>
        <w:rPr>
          <w:color w:val="auto"/>
          <w:sz w:val="22"/>
          <w:szCs w:val="22"/>
          <w:lang w:val="en-GB"/>
        </w:rPr>
      </w:pPr>
      <w:r>
        <w:rPr>
          <w:color w:val="auto"/>
          <w:sz w:val="22"/>
          <w:szCs w:val="22"/>
          <w:lang w:val="en-GB"/>
        </w:rPr>
      </w:r>
    </w:p>
    <w:p>
      <w:pPr>
        <w:pStyle w:val="BodyText2"/>
        <w:tabs>
          <w:tab w:val="clear" w:pos="2880"/>
          <w:tab w:val="left" w:pos="-720" w:leader="none"/>
        </w:tabs>
        <w:ind w:end="-1054"/>
        <w:rPr>
          <w:color w:val="auto"/>
          <w:sz w:val="22"/>
          <w:szCs w:val="22"/>
          <w:lang w:val="en-GB"/>
        </w:rPr>
      </w:pPr>
      <w:r>
        <w:rPr>
          <w:color w:val="auto"/>
          <w:sz w:val="22"/>
          <w:szCs w:val="22"/>
          <w:lang w:val="en-GB"/>
        </w:rPr>
        <w:t>Valuation Date:</w:t>
        <w:tab/>
        <w:t>The First Business Day of each calendar month during this Transaction and the Termination Date</w:t>
      </w:r>
    </w:p>
    <w:p>
      <w:pPr>
        <w:pStyle w:val="Normal"/>
        <w:tabs>
          <w:tab w:val="clear" w:pos="720"/>
          <w:tab w:val="left" w:pos="2880" w:leader="none"/>
        </w:tabs>
        <w:ind w:end="-1144"/>
        <w:jc w:val="both"/>
        <w:rPr>
          <w:color w:val="auto"/>
          <w:sz w:val="22"/>
          <w:szCs w:val="22"/>
          <w:lang w:val="en-US"/>
        </w:rPr>
      </w:pPr>
      <w:r>
        <w:rPr>
          <w:color w:val="auto"/>
          <w:sz w:val="22"/>
          <w:szCs w:val="22"/>
          <w:lang w:val="en-US"/>
        </w:rPr>
      </w:r>
    </w:p>
    <w:p>
      <w:pPr>
        <w:pStyle w:val="BodyTextIndent2"/>
        <w:ind w:end="-1054"/>
        <w:jc w:val="both"/>
        <w:rPr>
          <w:sz w:val="22"/>
          <w:szCs w:val="22"/>
          <w:lang w:val="en-US"/>
        </w:rPr>
      </w:pPr>
      <w:r>
        <w:rPr>
          <w:sz w:val="22"/>
          <w:szCs w:val="22"/>
          <w:lang w:val="en-US"/>
        </w:rPr>
      </w:r>
    </w:p>
    <w:p>
      <w:pPr>
        <w:pStyle w:val="BodyTextIndent2"/>
        <w:ind w:hanging="0" w:start="0" w:end="-1054"/>
        <w:jc w:val="both"/>
        <w:rPr>
          <w:b/>
          <w:bCs/>
          <w:sz w:val="24"/>
          <w:szCs w:val="24"/>
          <w:u w:val="single"/>
        </w:rPr>
      </w:pPr>
      <w:r>
        <w:rPr>
          <w:b/>
          <w:bCs/>
          <w:sz w:val="24"/>
          <w:szCs w:val="24"/>
          <w:u w:val="single"/>
        </w:rPr>
        <w:t>Payments:</w:t>
      </w:r>
    </w:p>
    <w:p>
      <w:pPr>
        <w:pStyle w:val="BodyTextIndent2"/>
        <w:ind w:hanging="2880" w:end="-1054"/>
        <w:jc w:val="both"/>
        <w:rPr/>
      </w:pPr>
      <w:r>
        <w:rPr/>
        <w:tab/>
      </w:r>
    </w:p>
    <w:p>
      <w:pPr>
        <w:pStyle w:val="BodyTextIndent2"/>
        <w:ind w:hanging="0" w:start="0" w:end="-1054"/>
        <w:jc w:val="both"/>
        <w:rPr>
          <w:b/>
          <w:bCs/>
        </w:rPr>
      </w:pPr>
      <w:r>
        <w:rPr>
          <w:b/>
          <w:bCs/>
        </w:rPr>
        <w:t>Total Return Payer Payments:</w:t>
      </w:r>
    </w:p>
    <w:p>
      <w:pPr>
        <w:pStyle w:val="BodyTextIndent2"/>
        <w:ind w:hanging="0" w:start="0" w:end="-1054"/>
        <w:jc w:val="both"/>
        <w:rPr>
          <w:b/>
          <w:bCs/>
        </w:rPr>
      </w:pPr>
      <w:r>
        <w:rPr>
          <w:b/>
          <w:bCs/>
        </w:rPr>
      </w:r>
    </w:p>
    <w:p>
      <w:pPr>
        <w:pStyle w:val="BodyTextIndent2"/>
        <w:ind w:hanging="0" w:start="0" w:end="-1054"/>
        <w:jc w:val="both"/>
        <w:rPr/>
      </w:pPr>
      <w:r>
        <w:rPr/>
        <w:t xml:space="preserve">Total Return Payer </w:t>
      </w:r>
    </w:p>
    <w:p>
      <w:pPr>
        <w:pStyle w:val="BodyTextIndent2"/>
        <w:ind w:hanging="2880" w:end="-1054"/>
        <w:jc w:val="both"/>
        <w:rPr/>
      </w:pPr>
      <w:r>
        <w:rPr/>
        <w:t>First Floating Amount:</w:t>
        <w:tab/>
        <w:t>Total Return Payer shall pay, on the second Business Day following each Valuation Date, to Floating Payer an amount equal to the positive amount, if any, calculated in accordance with the following formula:</w:t>
      </w:r>
    </w:p>
    <w:p>
      <w:pPr>
        <w:pStyle w:val="BodyTextIndent2"/>
        <w:ind w:hanging="0" w:start="0" w:end="-1054"/>
        <w:jc w:val="both"/>
        <w:rPr/>
      </w:pPr>
      <w:r>
        <w:rPr/>
      </w:r>
    </w:p>
    <w:p>
      <w:pPr>
        <w:pStyle w:val="BodyTextIndent2"/>
        <w:ind w:hanging="2880" w:end="-1054"/>
        <w:jc w:val="both"/>
        <w:rPr/>
      </w:pPr>
      <w:r>
        <w:rPr/>
        <w:tab/>
      </w:r>
      <w:r>
        <w:rPr>
          <w:b/>
          <w:bCs/>
        </w:rPr>
        <w:t>Notional Amount * (Market Value minus Preceding Market Value)</w:t>
      </w:r>
    </w:p>
    <w:p>
      <w:pPr>
        <w:pStyle w:val="BodyTextIndent2"/>
        <w:ind w:hanging="2880" w:end="-1054"/>
        <w:jc w:val="both"/>
        <w:rPr>
          <w:b/>
          <w:bCs/>
        </w:rPr>
      </w:pPr>
      <w:r>
        <w:rPr>
          <w:b/>
          <w:bCs/>
        </w:rPr>
      </w:r>
    </w:p>
    <w:p>
      <w:pPr>
        <w:pStyle w:val="BodyTextIndent2"/>
        <w:ind w:hanging="0" w:start="0" w:end="-1054"/>
        <w:jc w:val="both"/>
        <w:rPr/>
      </w:pPr>
      <w:r>
        <w:rPr/>
        <w:t>Total Return Payer</w:t>
      </w:r>
    </w:p>
    <w:p>
      <w:pPr>
        <w:pStyle w:val="BodyTextIndent2"/>
        <w:ind w:hanging="2880" w:end="-1054"/>
        <w:jc w:val="both"/>
        <w:rPr/>
      </w:pPr>
      <w:r>
        <w:rPr/>
        <w:t>Second Floating Amount:</w:t>
        <w:tab/>
        <w:t>Total Return Payer shall pay to Floating Payer an amount equal to all interest and other distributions on the Reference Assets actually paid to holders of the Reference Asset, for a period not to exceed the tenor of this Transaction, in a portion equal to the Notional Amount on such day,   to be paid on the second Business Day following the date, if any, such payment is received by holders of the Reference Asset.</w:t>
      </w:r>
    </w:p>
    <w:p>
      <w:pPr>
        <w:pStyle w:val="BodyTextIndent2"/>
        <w:ind w:hanging="2880" w:end="-1054"/>
        <w:jc w:val="both"/>
        <w:rPr/>
      </w:pPr>
      <w:r>
        <w:rPr/>
      </w:r>
    </w:p>
    <w:p>
      <w:pPr>
        <w:pStyle w:val="BodyTextIndent2"/>
        <w:ind w:hanging="2880" w:end="-1054"/>
        <w:jc w:val="both"/>
        <w:rPr/>
      </w:pPr>
      <w:r>
        <w:rPr/>
        <w:t>Total Return Payer</w:t>
      </w:r>
    </w:p>
    <w:p>
      <w:pPr>
        <w:pStyle w:val="BodyTextIndent2"/>
        <w:ind w:hanging="2880" w:end="-1054"/>
        <w:jc w:val="both"/>
        <w:rPr/>
      </w:pPr>
      <w:r>
        <w:rPr/>
        <w:t>Third Floating Payment:</w:t>
        <w:tab/>
        <w:t>Total Return Payer shall pay to Floating Payer, on the second Business Day following each Asset Repayment Date, an amount equal to the positive amount, if any, calculated in accordance with the following formula:</w:t>
      </w:r>
    </w:p>
    <w:p>
      <w:pPr>
        <w:pStyle w:val="BodyTextIndent2"/>
        <w:ind w:hanging="0" w:start="0" w:end="-1054"/>
        <w:jc w:val="both"/>
        <w:rPr/>
      </w:pPr>
      <w:r>
        <w:rPr/>
      </w:r>
    </w:p>
    <w:p>
      <w:pPr>
        <w:pStyle w:val="BodyTextIndent2"/>
        <w:ind w:hanging="2880" w:end="-1054"/>
        <w:jc w:val="both"/>
        <w:rPr>
          <w:b/>
          <w:bCs/>
        </w:rPr>
      </w:pPr>
      <w:r>
        <w:rPr>
          <w:b/>
          <w:bCs/>
        </w:rPr>
        <w:tab/>
        <w:t>Repayment * (Repayment Price minus Preceding Market Value)</w:t>
      </w:r>
    </w:p>
    <w:p>
      <w:pPr>
        <w:pStyle w:val="BodyTextIndent2"/>
        <w:ind w:hanging="2880" w:end="-1054"/>
        <w:jc w:val="both"/>
        <w:rPr>
          <w:b/>
          <w:bCs/>
        </w:rPr>
      </w:pPr>
      <w:r>
        <w:rPr>
          <w:b/>
          <w:bCs/>
        </w:rPr>
      </w:r>
    </w:p>
    <w:p>
      <w:pPr>
        <w:pStyle w:val="BodyTextIndent2"/>
        <w:ind w:hanging="2880" w:end="-1054"/>
        <w:jc w:val="both"/>
        <w:rPr/>
      </w:pPr>
      <w:r>
        <w:rPr/>
      </w:r>
    </w:p>
    <w:p>
      <w:pPr>
        <w:pStyle w:val="BodyTextIndent2"/>
        <w:ind w:hanging="2880" w:end="-1054"/>
        <w:jc w:val="both"/>
        <w:rPr>
          <w:b/>
          <w:bCs/>
        </w:rPr>
      </w:pPr>
      <w:r>
        <w:rPr>
          <w:b/>
          <w:bCs/>
        </w:rPr>
        <w:t xml:space="preserve">Floating Payer Payments: </w:t>
      </w:r>
    </w:p>
    <w:p>
      <w:pPr>
        <w:pStyle w:val="BodyTextIndent2"/>
        <w:ind w:hanging="2880" w:end="-1054"/>
        <w:jc w:val="both"/>
        <w:rPr>
          <w:b/>
          <w:bCs/>
        </w:rPr>
      </w:pPr>
      <w:r>
        <w:rPr>
          <w:b/>
          <w:bCs/>
        </w:rPr>
      </w:r>
    </w:p>
    <w:p>
      <w:pPr>
        <w:pStyle w:val="BodyTextIndent2"/>
        <w:tabs>
          <w:tab w:val="clear" w:pos="2880"/>
        </w:tabs>
        <w:ind w:hanging="0" w:start="0" w:end="-1054"/>
        <w:jc w:val="both"/>
        <w:rPr/>
      </w:pPr>
      <w:r>
        <w:rPr/>
        <w:t>Floating Payer</w:t>
      </w:r>
    </w:p>
    <w:p>
      <w:pPr>
        <w:pStyle w:val="BodyTextIndent2"/>
        <w:tabs>
          <w:tab w:val="clear" w:pos="2880"/>
        </w:tabs>
        <w:ind w:hanging="2880" w:end="-1054"/>
        <w:jc w:val="both"/>
        <w:rPr/>
      </w:pPr>
      <w:r>
        <w:rPr/>
        <w:t>First Payment Dates:</w:t>
        <w:tab/>
        <w:t>The Floating Payment Dates (as indicated in the relevant Supplemental Confirmation) in each year from and including the Settlement Date to and including the Termination Date, subject to adjustment in accordance with the Modified Following Business Day Convention</w:t>
      </w:r>
    </w:p>
    <w:p>
      <w:pPr>
        <w:pStyle w:val="BodyTextIndent2"/>
        <w:tabs>
          <w:tab w:val="clear" w:pos="2880"/>
        </w:tabs>
        <w:ind w:hanging="0" w:start="0" w:end="-1054"/>
        <w:jc w:val="both"/>
        <w:rPr/>
      </w:pPr>
      <w:r>
        <w:rPr/>
        <w:tab/>
      </w:r>
    </w:p>
    <w:p>
      <w:pPr>
        <w:pStyle w:val="BodyTextIndent2"/>
        <w:tabs>
          <w:tab w:val="clear" w:pos="2880"/>
        </w:tabs>
        <w:ind w:hanging="2880" w:end="-1054"/>
        <w:jc w:val="both"/>
        <w:rPr/>
      </w:pPr>
      <w:r>
        <w:rPr/>
        <w:t>Floating Rate Option:</w:t>
        <w:tab/>
        <w:t>if CUR = USD then USD-LIBOR-BBA</w:t>
      </w:r>
    </w:p>
    <w:p>
      <w:pPr>
        <w:pStyle w:val="BodyTextIndent2"/>
        <w:tabs>
          <w:tab w:val="clear" w:pos="2880"/>
        </w:tabs>
        <w:ind w:hanging="2880" w:end="-1054"/>
        <w:jc w:val="both"/>
        <w:rPr/>
      </w:pPr>
      <w:r>
        <w:rPr/>
      </w:r>
    </w:p>
    <w:p>
      <w:pPr>
        <w:pStyle w:val="BodyTextIndent2"/>
        <w:tabs>
          <w:tab w:val="clear" w:pos="2880"/>
        </w:tabs>
        <w:ind w:hanging="0" w:end="-1054"/>
        <w:jc w:val="both"/>
        <w:rPr/>
      </w:pPr>
      <w:r>
        <w:rPr/>
        <w:t>if CUR = EUR then EUR-EURIBOR-Telerate</w:t>
      </w:r>
    </w:p>
    <w:p>
      <w:pPr>
        <w:pStyle w:val="BodyTextIndent2"/>
        <w:tabs>
          <w:tab w:val="clear" w:pos="2880"/>
        </w:tabs>
        <w:ind w:hanging="2880" w:end="-1054"/>
        <w:jc w:val="both"/>
        <w:rPr/>
      </w:pPr>
      <w:r>
        <w:rPr/>
      </w:r>
    </w:p>
    <w:p>
      <w:pPr>
        <w:pStyle w:val="BodyTextIndent2"/>
        <w:tabs>
          <w:tab w:val="clear" w:pos="2880"/>
        </w:tabs>
        <w:ind w:hanging="0" w:end="-1054"/>
        <w:jc w:val="both"/>
        <w:rPr/>
      </w:pPr>
      <w:r>
        <w:rPr/>
        <w:t>if CUR = GBP then GBP-LIBOR-BBA</w:t>
      </w:r>
    </w:p>
    <w:p>
      <w:pPr>
        <w:pStyle w:val="BodyTextIndent2"/>
        <w:tabs>
          <w:tab w:val="clear" w:pos="2880"/>
        </w:tabs>
        <w:ind w:hanging="0" w:start="0" w:end="-1054"/>
        <w:jc w:val="both"/>
        <w:rPr/>
      </w:pPr>
      <w:r>
        <w:rPr/>
      </w:r>
    </w:p>
    <w:p>
      <w:pPr>
        <w:pStyle w:val="BodyTextIndent2"/>
        <w:tabs>
          <w:tab w:val="clear" w:pos="2880"/>
        </w:tabs>
        <w:ind w:hanging="0" w:end="-1054"/>
        <w:jc w:val="both"/>
        <w:rPr/>
      </w:pPr>
      <w:r>
        <w:rPr/>
        <w:t>if CUR = JPY then JPY-LIBOR-BBA</w:t>
      </w:r>
    </w:p>
    <w:p>
      <w:pPr>
        <w:pStyle w:val="BodyTextIndent2"/>
        <w:tabs>
          <w:tab w:val="clear" w:pos="2880"/>
        </w:tabs>
        <w:ind w:hanging="0" w:start="0" w:end="-1054"/>
        <w:jc w:val="both"/>
        <w:rPr/>
      </w:pPr>
      <w:r>
        <w:rPr/>
        <w:tab/>
      </w:r>
    </w:p>
    <w:p>
      <w:pPr>
        <w:pStyle w:val="BodyTextIndent2"/>
        <w:tabs>
          <w:tab w:val="clear" w:pos="2880"/>
        </w:tabs>
        <w:ind w:hanging="2880" w:end="-1054"/>
        <w:jc w:val="both"/>
        <w:rPr/>
      </w:pPr>
      <w:r>
        <w:rPr/>
        <w:t>Designated Maturity:</w:t>
        <w:tab/>
        <w:t>3 Month, unless otherwise specified in the relevant Supplemental Confirmation, provided that in respect of the initial Calculation Period, Linear Interpolation shall apply.</w:t>
      </w:r>
    </w:p>
    <w:p>
      <w:pPr>
        <w:pStyle w:val="BodyTextIndent2"/>
        <w:tabs>
          <w:tab w:val="clear" w:pos="2880"/>
        </w:tabs>
        <w:ind w:hanging="2880" w:end="-1054"/>
        <w:jc w:val="both"/>
        <w:rPr/>
      </w:pPr>
      <w:r>
        <w:rPr/>
        <w:tab/>
      </w:r>
    </w:p>
    <w:p>
      <w:pPr>
        <w:pStyle w:val="BodyTextIndent2"/>
        <w:tabs>
          <w:tab w:val="clear" w:pos="2880"/>
        </w:tabs>
        <w:ind w:hanging="2880" w:end="-1054"/>
        <w:jc w:val="both"/>
        <w:rPr/>
      </w:pPr>
      <w:r>
        <w:rPr/>
        <w:t>Spread:</w:t>
        <w:tab/>
        <w:t>As specified in the relevant Supplemental Confirmation</w:t>
      </w:r>
    </w:p>
    <w:p>
      <w:pPr>
        <w:pStyle w:val="BodyTextIndent2"/>
        <w:tabs>
          <w:tab w:val="clear" w:pos="2880"/>
        </w:tabs>
        <w:ind w:hanging="2880" w:end="-1054"/>
        <w:jc w:val="both"/>
        <w:rPr/>
      </w:pPr>
      <w:r>
        <w:rPr/>
        <w:tab/>
      </w:r>
    </w:p>
    <w:p>
      <w:pPr>
        <w:pStyle w:val="BodyTextIndent2"/>
        <w:tabs>
          <w:tab w:val="clear" w:pos="2880"/>
        </w:tabs>
        <w:ind w:hanging="2880" w:end="-1054"/>
        <w:jc w:val="both"/>
        <w:rPr/>
      </w:pPr>
      <w:r>
        <w:rPr/>
        <w:t>Floating Rate</w:t>
      </w:r>
    </w:p>
    <w:p>
      <w:pPr>
        <w:pStyle w:val="BodyTextIndent2"/>
        <w:tabs>
          <w:tab w:val="clear" w:pos="2880"/>
        </w:tabs>
        <w:ind w:hanging="2880" w:end="-1054"/>
        <w:jc w:val="both"/>
        <w:rPr/>
      </w:pPr>
      <w:r>
        <w:rPr/>
        <w:t>Day Count Fraction:</w:t>
        <w:tab/>
        <w:t>Actual/360, unless CUR = GBP, in which case Actual/365, unless otherwise specified in the relevant Supplemental Confirmation.</w:t>
      </w:r>
    </w:p>
    <w:p>
      <w:pPr>
        <w:pStyle w:val="BodyTextIndent2"/>
        <w:tabs>
          <w:tab w:val="clear" w:pos="2880"/>
        </w:tabs>
        <w:ind w:hanging="0" w:start="0" w:end="-1054"/>
        <w:jc w:val="both"/>
        <w:rPr/>
      </w:pPr>
      <w:r>
        <w:rPr/>
        <w:t>Floating Rate</w:t>
      </w:r>
    </w:p>
    <w:p>
      <w:pPr>
        <w:pStyle w:val="BodyTextIndent2"/>
        <w:tabs>
          <w:tab w:val="clear" w:pos="2880"/>
        </w:tabs>
        <w:ind w:hanging="2880" w:end="-1054"/>
        <w:jc w:val="both"/>
        <w:rPr/>
      </w:pPr>
      <w:r>
        <w:rPr/>
        <w:t>Business Days:</w:t>
        <w:tab/>
        <w:t xml:space="preserve">Unless otherwise specified in the relevant Supplemental Confirmation; </w:t>
      </w:r>
    </w:p>
    <w:p>
      <w:pPr>
        <w:pStyle w:val="BodyTextIndent2"/>
        <w:tabs>
          <w:tab w:val="clear" w:pos="2880"/>
        </w:tabs>
        <w:ind w:hanging="2880" w:end="-1054"/>
        <w:jc w:val="both"/>
        <w:rPr/>
      </w:pPr>
      <w:r>
        <w:rPr/>
      </w:r>
    </w:p>
    <w:p>
      <w:pPr>
        <w:pStyle w:val="BodyTextIndent2"/>
        <w:tabs>
          <w:tab w:val="clear" w:pos="2880"/>
        </w:tabs>
        <w:ind w:hanging="0" w:end="-1054"/>
        <w:jc w:val="both"/>
        <w:rPr/>
      </w:pPr>
      <w:r>
        <w:rPr/>
        <w:t>If CUR = EUR then TARGET Settlement Days</w:t>
      </w:r>
    </w:p>
    <w:p>
      <w:pPr>
        <w:pStyle w:val="BodyTextIndent2"/>
        <w:tabs>
          <w:tab w:val="clear" w:pos="2880"/>
        </w:tabs>
        <w:ind w:hanging="2880" w:end="-1054"/>
        <w:jc w:val="both"/>
        <w:rPr/>
      </w:pPr>
      <w:r>
        <w:rPr/>
      </w:r>
    </w:p>
    <w:p>
      <w:pPr>
        <w:pStyle w:val="BodyTextIndent2"/>
        <w:tabs>
          <w:tab w:val="clear" w:pos="2880"/>
        </w:tabs>
        <w:ind w:hanging="0" w:end="-1054"/>
        <w:jc w:val="both"/>
        <w:rPr/>
      </w:pPr>
      <w:r>
        <w:rPr/>
        <w:t>If  CUR = USD then New York</w:t>
      </w:r>
    </w:p>
    <w:p>
      <w:pPr>
        <w:pStyle w:val="BodyTextIndent2"/>
        <w:tabs>
          <w:tab w:val="clear" w:pos="2880"/>
        </w:tabs>
        <w:ind w:hanging="2880" w:end="-1054"/>
        <w:jc w:val="both"/>
        <w:rPr/>
      </w:pPr>
      <w:r>
        <w:rPr/>
      </w:r>
    </w:p>
    <w:p>
      <w:pPr>
        <w:pStyle w:val="BodyTextIndent2"/>
        <w:tabs>
          <w:tab w:val="clear" w:pos="2880"/>
        </w:tabs>
        <w:ind w:hanging="0" w:end="-1054"/>
        <w:jc w:val="both"/>
        <w:rPr/>
      </w:pPr>
      <w:r>
        <w:rPr/>
        <w:t>If CUR = GBP then London</w:t>
      </w:r>
    </w:p>
    <w:p>
      <w:pPr>
        <w:pStyle w:val="BodyTextIndent2"/>
        <w:tabs>
          <w:tab w:val="clear" w:pos="2880"/>
        </w:tabs>
        <w:ind w:hanging="2880" w:end="-1054"/>
        <w:jc w:val="both"/>
        <w:rPr/>
      </w:pPr>
      <w:r>
        <w:rPr/>
      </w:r>
    </w:p>
    <w:p>
      <w:pPr>
        <w:pStyle w:val="BodyTextIndent2"/>
        <w:tabs>
          <w:tab w:val="clear" w:pos="2880"/>
        </w:tabs>
        <w:ind w:hanging="0" w:end="-1054"/>
        <w:jc w:val="both"/>
        <w:rPr/>
      </w:pPr>
      <w:r>
        <w:rPr/>
        <w:t>If CUR = JPY then Tokyo</w:t>
      </w:r>
    </w:p>
    <w:p>
      <w:pPr>
        <w:pStyle w:val="BodyTextIndent2"/>
        <w:tabs>
          <w:tab w:val="clear" w:pos="2880"/>
        </w:tabs>
        <w:ind w:hanging="2880" w:end="-1054"/>
        <w:jc w:val="both"/>
        <w:rPr/>
      </w:pPr>
      <w:r>
        <w:rPr/>
      </w:r>
    </w:p>
    <w:p>
      <w:pPr>
        <w:pStyle w:val="BodyTextIndent2"/>
        <w:ind w:hanging="2880" w:end="-1054"/>
        <w:jc w:val="both"/>
        <w:rPr>
          <w:b/>
          <w:bCs/>
        </w:rPr>
      </w:pPr>
      <w:r>
        <w:rPr>
          <w:b/>
          <w:bCs/>
        </w:rPr>
      </w:r>
    </w:p>
    <w:p>
      <w:pPr>
        <w:pStyle w:val="BodyTextIndent2"/>
        <w:ind w:hanging="0" w:start="0" w:end="-1054"/>
        <w:jc w:val="both"/>
        <w:rPr/>
      </w:pPr>
      <w:r>
        <w:rPr/>
        <w:t>Floating Payer</w:t>
      </w:r>
    </w:p>
    <w:p>
      <w:pPr>
        <w:pStyle w:val="BodyTextIndent2"/>
        <w:ind w:hanging="2880" w:end="-1054"/>
        <w:jc w:val="both"/>
        <w:rPr/>
      </w:pPr>
      <w:r>
        <w:rPr/>
        <w:t>Second Floating Payment:</w:t>
        <w:tab/>
        <w:t>Floating Payer shall pay to Total Return Payer, on the second Business Day following each Valuation Date, an amount equal to the absolute value of the negative amount, if any, calculated in accordance with the following formula:</w:t>
      </w:r>
    </w:p>
    <w:p>
      <w:pPr>
        <w:pStyle w:val="BodyTextIndent2"/>
        <w:ind w:hanging="2880" w:end="-1054"/>
        <w:jc w:val="both"/>
        <w:rPr/>
      </w:pPr>
      <w:r>
        <w:rPr/>
      </w:r>
    </w:p>
    <w:p>
      <w:pPr>
        <w:pStyle w:val="BodyTextIndent2"/>
        <w:ind w:hanging="2880" w:end="-1054"/>
        <w:jc w:val="both"/>
        <w:rPr/>
      </w:pPr>
      <w:r>
        <w:rPr/>
        <w:tab/>
      </w:r>
      <w:r>
        <w:rPr>
          <w:b/>
          <w:bCs/>
        </w:rPr>
        <w:t>Notional Amount * (Market Value minus Preceding Market Value)</w:t>
      </w:r>
    </w:p>
    <w:p>
      <w:pPr>
        <w:pStyle w:val="BodyTextIndent2"/>
        <w:ind w:hanging="2880" w:end="-1054"/>
        <w:jc w:val="both"/>
        <w:rPr>
          <w:b/>
          <w:bCs/>
        </w:rPr>
      </w:pPr>
      <w:r>
        <w:rPr>
          <w:b/>
          <w:bCs/>
        </w:rPr>
      </w:r>
    </w:p>
    <w:p>
      <w:pPr>
        <w:pStyle w:val="BodyTextIndent2"/>
        <w:ind w:hanging="2880" w:end="-1054"/>
        <w:jc w:val="both"/>
        <w:rPr/>
      </w:pPr>
      <w:r>
        <w:rPr/>
        <w:t>Floating Payer</w:t>
      </w:r>
    </w:p>
    <w:p>
      <w:pPr>
        <w:pStyle w:val="BodyTextIndent2"/>
        <w:ind w:hanging="2880" w:end="-1054"/>
        <w:jc w:val="both"/>
        <w:rPr/>
      </w:pPr>
      <w:r>
        <w:rPr/>
        <w:t>Third Floating Payment:</w:t>
        <w:tab/>
        <w:t>Floating Amount Payer shall pay to Total Return Payer, on the second Business Day following each Asset Repayment Date, an amount equal to the absolute value of the negative amount, if any, calculated in accordance with the following formula:</w:t>
      </w:r>
    </w:p>
    <w:p>
      <w:pPr>
        <w:pStyle w:val="BodyTextIndent2"/>
        <w:ind w:hanging="2880" w:end="-1054"/>
        <w:jc w:val="both"/>
        <w:rPr/>
      </w:pPr>
      <w:r>
        <w:rPr/>
      </w:r>
    </w:p>
    <w:p>
      <w:pPr>
        <w:pStyle w:val="BodyTextIndent2"/>
        <w:ind w:hanging="2880" w:end="-1054"/>
        <w:jc w:val="both"/>
        <w:rPr>
          <w:b/>
          <w:bCs/>
        </w:rPr>
      </w:pPr>
      <w:r>
        <w:rPr>
          <w:b/>
          <w:bCs/>
        </w:rPr>
        <w:tab/>
        <w:t>Repayment * (Repayment Price minus Preceding Market Value)</w:t>
      </w:r>
    </w:p>
    <w:p>
      <w:pPr>
        <w:pStyle w:val="BodyTextIndent2"/>
        <w:ind w:hanging="2880" w:end="-1054"/>
        <w:jc w:val="both"/>
        <w:rPr>
          <w:b/>
          <w:bCs/>
        </w:rPr>
      </w:pPr>
      <w:r>
        <w:rPr>
          <w:b/>
          <w:bCs/>
        </w:rPr>
      </w:r>
    </w:p>
    <w:p>
      <w:pPr>
        <w:pStyle w:val="BodyTextIndent2"/>
        <w:ind w:hanging="2880" w:end="-1054"/>
        <w:jc w:val="both"/>
        <w:rPr/>
      </w:pPr>
      <w:r>
        <w:rPr/>
        <w:t>Credit Events:</w:t>
      </w:r>
      <w:r>
        <w:rPr>
          <w:b/>
          <w:bCs/>
        </w:rPr>
        <w:tab/>
      </w:r>
      <w:r>
        <w:rPr/>
        <w:t>The Calculation Agent may declare a Credit Event as soon as it becomes aware of any of the following events in respect of the Reference Entity:</w:t>
      </w:r>
    </w:p>
    <w:p>
      <w:pPr>
        <w:pStyle w:val="BodyTextIndent2"/>
        <w:ind w:hanging="2880" w:end="-1054"/>
        <w:jc w:val="both"/>
        <w:rPr>
          <w:b/>
          <w:bCs/>
        </w:rPr>
      </w:pPr>
      <w:r>
        <w:rPr>
          <w:b/>
          <w:bCs/>
        </w:rPr>
      </w:r>
    </w:p>
    <w:p>
      <w:pPr>
        <w:pStyle w:val="BodyTextIndent2"/>
        <w:ind w:hanging="2880" w:end="-1054"/>
        <w:jc w:val="both"/>
        <w:rPr/>
      </w:pPr>
      <w:r>
        <w:rPr/>
        <w:tab/>
        <w:t>Bankruptcy</w:t>
      </w:r>
    </w:p>
    <w:p>
      <w:pPr>
        <w:pStyle w:val="BodyTextIndent2"/>
        <w:ind w:hanging="2880" w:end="-1054"/>
        <w:jc w:val="both"/>
        <w:rPr/>
      </w:pPr>
      <w:r>
        <w:rPr/>
        <w:tab/>
        <w:t>Obligation Acceleration</w:t>
      </w:r>
    </w:p>
    <w:p>
      <w:pPr>
        <w:pStyle w:val="BodyTextIndent2"/>
        <w:ind w:hanging="2880" w:end="-1054"/>
        <w:jc w:val="both"/>
        <w:rPr/>
      </w:pPr>
      <w:r>
        <w:rPr/>
        <w:tab/>
        <w:t>Failure to Pay</w:t>
      </w:r>
    </w:p>
    <w:p>
      <w:pPr>
        <w:pStyle w:val="BodyTextIndent2"/>
        <w:ind w:hanging="2880" w:end="-1054"/>
        <w:jc w:val="both"/>
        <w:rPr/>
      </w:pPr>
      <w:r>
        <w:rPr/>
        <w:tab/>
        <w:t>Restructuring</w:t>
      </w:r>
    </w:p>
    <w:p>
      <w:pPr>
        <w:pStyle w:val="BodyTextIndent2"/>
        <w:ind w:hanging="2880" w:end="-1054"/>
        <w:jc w:val="both"/>
        <w:rPr/>
      </w:pPr>
      <w:r>
        <w:rPr/>
        <w:tab/>
        <w:t>Moratorium</w:t>
      </w:r>
    </w:p>
    <w:p>
      <w:pPr>
        <w:pStyle w:val="BodyTextIndent2"/>
        <w:ind w:hanging="2880" w:end="-1054"/>
        <w:jc w:val="both"/>
        <w:rPr/>
      </w:pPr>
      <w:r>
        <w:rPr/>
        <w:tab/>
        <w:t>Repudiation</w:t>
      </w:r>
    </w:p>
    <w:p>
      <w:pPr>
        <w:pStyle w:val="BodyTextIndent2"/>
        <w:ind w:hanging="2880" w:end="-1054"/>
        <w:jc w:val="both"/>
        <w:rPr/>
      </w:pPr>
      <w:r>
        <w:rPr/>
      </w:r>
    </w:p>
    <w:p>
      <w:pPr>
        <w:pStyle w:val="BodyTextIndent2"/>
        <w:ind w:hanging="2880" w:end="-1054"/>
        <w:jc w:val="both"/>
        <w:rPr/>
      </w:pPr>
      <w:r>
        <w:rPr/>
        <w:t>Credit Event</w:t>
      </w:r>
    </w:p>
    <w:p>
      <w:pPr>
        <w:pStyle w:val="BodyTextIndent2"/>
        <w:ind w:hanging="2880" w:end="-1054"/>
        <w:jc w:val="both"/>
        <w:rPr/>
      </w:pPr>
      <w:r>
        <w:rPr/>
        <w:t>Determination Date:</w:t>
        <w:tab/>
        <w:t>Means the date on which the Calculation Agent determines that a Credit Event has occurred.</w:t>
      </w:r>
    </w:p>
    <w:p>
      <w:pPr>
        <w:pStyle w:val="BodyTextIndent2"/>
        <w:ind w:hanging="2880" w:end="-1054"/>
        <w:jc w:val="both"/>
        <w:rPr/>
      </w:pPr>
      <w:r>
        <w:rPr/>
      </w:r>
    </w:p>
    <w:p>
      <w:pPr>
        <w:pStyle w:val="BodyTextIndent2"/>
        <w:ind w:hanging="2880" w:end="-1054"/>
        <w:jc w:val="both"/>
        <w:rPr/>
      </w:pPr>
      <w:r>
        <w:rPr/>
        <w:tab/>
        <w:t>The Calculation Agent shall notify the parties in writing of the occurrence of a Credit Event, such notice to contain a description in reasonable detail of the Credit Event.</w:t>
      </w:r>
    </w:p>
    <w:p>
      <w:pPr>
        <w:pStyle w:val="BodyTextIndent2"/>
        <w:ind w:hanging="2880" w:end="-1054"/>
        <w:jc w:val="both"/>
        <w:rPr/>
      </w:pPr>
      <w:r>
        <w:rPr/>
      </w:r>
    </w:p>
    <w:p>
      <w:pPr>
        <w:pStyle w:val="BodyTextIndent2"/>
        <w:ind w:hanging="2880" w:end="-1054"/>
        <w:jc w:val="both"/>
        <w:rPr/>
      </w:pPr>
      <w:r>
        <w:rPr/>
        <w:t>Obligations:</w:t>
        <w:tab/>
        <w:t>With respect to the Reference Entity, any obligation (whether present or future, contingent or otherwise, as principal or surety or otherwise) in respect of borrowed money.</w:t>
      </w:r>
    </w:p>
    <w:p>
      <w:pPr>
        <w:pStyle w:val="BodyTextIndent2"/>
        <w:ind w:hanging="2880" w:end="-1054"/>
        <w:jc w:val="both"/>
        <w:rPr/>
      </w:pPr>
      <w:r>
        <w:rPr/>
      </w:r>
    </w:p>
    <w:p>
      <w:pPr>
        <w:pStyle w:val="BodyTextIndent2"/>
        <w:ind w:hanging="2880" w:end="-1054"/>
        <w:jc w:val="both"/>
        <w:rPr/>
      </w:pPr>
      <w:r>
        <w:rPr/>
        <w:t>Default Requirement:</w:t>
        <w:tab/>
        <w:t>In respect of an aggregate principal amount of USD10,000,000 (or it’s equivalent in the relevant Obligation Currency as of the occurrence of the relevant Credit Event).</w:t>
      </w:r>
    </w:p>
    <w:p>
      <w:pPr>
        <w:pStyle w:val="BodyTextIndent2"/>
        <w:ind w:hanging="2880" w:end="-1054"/>
        <w:jc w:val="both"/>
        <w:rPr/>
      </w:pPr>
      <w:r>
        <w:rPr/>
      </w:r>
    </w:p>
    <w:p>
      <w:pPr>
        <w:pStyle w:val="BodyTextIndent2"/>
        <w:ind w:hanging="2880" w:end="-1054"/>
        <w:jc w:val="both"/>
        <w:rPr/>
      </w:pPr>
      <w:r>
        <w:rPr/>
        <w:t>Payment Requirement:</w:t>
        <w:tab/>
        <w:t>In respect of an aggregate principal amount of USD1,000,000 (or it’s equivalent in the relevant Obligation Currency as of the occurrence of the relevant Failure to Pay or Potential Failure to Pay, as applicable).</w:t>
      </w:r>
    </w:p>
    <w:p>
      <w:pPr>
        <w:pStyle w:val="BodyTextIndent2"/>
        <w:ind w:hanging="2880" w:end="-1054"/>
        <w:jc w:val="both"/>
        <w:rPr/>
      </w:pPr>
      <w:r>
        <w:rPr/>
      </w:r>
    </w:p>
    <w:p>
      <w:pPr>
        <w:pStyle w:val="BodyTextIndent2"/>
        <w:ind w:hanging="2880" w:end="-1144"/>
        <w:jc w:val="both"/>
        <w:rPr>
          <w:b/>
          <w:bCs/>
        </w:rPr>
      </w:pPr>
      <w:r>
        <w:rPr>
          <w:b/>
          <w:bCs/>
        </w:rPr>
      </w:r>
    </w:p>
    <w:p>
      <w:pPr>
        <w:pStyle w:val="Normal"/>
        <w:rPr>
          <w:b/>
          <w:bCs/>
          <w:sz w:val="22"/>
          <w:szCs w:val="22"/>
        </w:rPr>
      </w:pPr>
      <w:r>
        <w:rPr>
          <w:b/>
          <w:bCs/>
          <w:sz w:val="22"/>
          <w:szCs w:val="22"/>
        </w:rPr>
        <w:t>Additional Provisions:</w:t>
      </w:r>
    </w:p>
    <w:p>
      <w:pPr>
        <w:pStyle w:val="Header"/>
        <w:tabs>
          <w:tab w:val="clear" w:pos="4153"/>
          <w:tab w:val="clear" w:pos="8306"/>
        </w:tabs>
        <w:rPr>
          <w:b/>
          <w:bCs/>
          <w:sz w:val="22"/>
          <w:szCs w:val="22"/>
        </w:rPr>
      </w:pPr>
      <w:r>
        <w:rPr>
          <w:b/>
          <w:bCs/>
          <w:sz w:val="22"/>
          <w:szCs w:val="22"/>
        </w:rPr>
      </w:r>
    </w:p>
    <w:p>
      <w:pPr>
        <w:pStyle w:val="Normal"/>
        <w:jc w:val="both"/>
        <w:rPr>
          <w:sz w:val="22"/>
          <w:szCs w:val="22"/>
        </w:rPr>
      </w:pPr>
      <w:r>
        <w:rPr>
          <w:sz w:val="22"/>
          <w:szCs w:val="22"/>
        </w:rPr>
        <w:t>1. Optional Early Termination Provision</w:t>
      </w:r>
    </w:p>
    <w:p>
      <w:pPr>
        <w:pStyle w:val="Normal"/>
        <w:jc w:val="both"/>
        <w:rPr>
          <w:sz w:val="22"/>
          <w:szCs w:val="22"/>
        </w:rPr>
      </w:pPr>
      <w:r>
        <w:rPr>
          <w:sz w:val="22"/>
          <w:szCs w:val="22"/>
        </w:rPr>
      </w:r>
    </w:p>
    <w:p>
      <w:pPr>
        <w:pStyle w:val="Normal"/>
        <w:jc w:val="both"/>
        <w:rPr>
          <w:sz w:val="22"/>
          <w:szCs w:val="22"/>
        </w:rPr>
      </w:pPr>
      <w:r>
        <w:rPr>
          <w:sz w:val="22"/>
          <w:szCs w:val="22"/>
        </w:rPr>
        <w:t>Pursuant to the following provisions both Parties to this Transaction may designate an “Optional Early Termination Date” in respect of this Transaction, but shall have no obligation to do so.</w:t>
      </w:r>
    </w:p>
    <w:p>
      <w:pPr>
        <w:pStyle w:val="Normal"/>
        <w:jc w:val="both"/>
        <w:rPr>
          <w:sz w:val="22"/>
          <w:szCs w:val="22"/>
        </w:rPr>
      </w:pPr>
      <w:r>
        <w:rPr>
          <w:sz w:val="22"/>
          <w:szCs w:val="22"/>
        </w:rPr>
      </w:r>
    </w:p>
    <w:p>
      <w:pPr>
        <w:pStyle w:val="Normal"/>
        <w:jc w:val="both"/>
        <w:rPr>
          <w:sz w:val="22"/>
          <w:szCs w:val="22"/>
        </w:rPr>
      </w:pPr>
      <w:r>
        <w:rPr>
          <w:sz w:val="22"/>
          <w:szCs w:val="22"/>
        </w:rPr>
        <w:t>a) Floating Payer may designate an Optional Early Termination Date on any day during the term of this transaction upon notification (described below) to UBS.  If Floating Payer designates an Optional Early Termination Date prior to the Lock-Up Date the price of such termination will be adjusted by the Calculation Agent, in order to make UBS whole, by an amount (payable to UBS) equal to:</w:t>
      </w:r>
    </w:p>
    <w:p>
      <w:pPr>
        <w:pStyle w:val="Normal"/>
        <w:jc w:val="both"/>
        <w:rPr>
          <w:sz w:val="22"/>
          <w:szCs w:val="22"/>
        </w:rPr>
      </w:pPr>
      <w:r>
        <w:rPr>
          <w:sz w:val="22"/>
          <w:szCs w:val="22"/>
        </w:rPr>
      </w:r>
    </w:p>
    <w:p>
      <w:pPr>
        <w:pStyle w:val="Normal"/>
        <w:jc w:val="both"/>
        <w:rPr>
          <w:sz w:val="22"/>
          <w:szCs w:val="22"/>
        </w:rPr>
      </w:pPr>
      <w:r>
        <w:rPr>
          <w:sz w:val="22"/>
          <w:szCs w:val="22"/>
        </w:rPr>
        <w:t>Calculation Amount * Spread * (Days / 360)</w:t>
      </w:r>
    </w:p>
    <w:p>
      <w:pPr>
        <w:pStyle w:val="Normal"/>
        <w:jc w:val="both"/>
        <w:rPr>
          <w:sz w:val="22"/>
          <w:szCs w:val="22"/>
        </w:rPr>
      </w:pPr>
      <w:r>
        <w:rPr>
          <w:sz w:val="22"/>
          <w:szCs w:val="22"/>
        </w:rPr>
      </w:r>
    </w:p>
    <w:p>
      <w:pPr>
        <w:pStyle w:val="Normal"/>
        <w:jc w:val="both"/>
        <w:rPr>
          <w:sz w:val="22"/>
          <w:szCs w:val="22"/>
        </w:rPr>
      </w:pPr>
      <w:r>
        <w:rPr>
          <w:sz w:val="22"/>
          <w:szCs w:val="22"/>
        </w:rPr>
        <w:t>where:</w:t>
      </w:r>
    </w:p>
    <w:p>
      <w:pPr>
        <w:pStyle w:val="Normal"/>
        <w:jc w:val="both"/>
        <w:rPr>
          <w:sz w:val="22"/>
          <w:szCs w:val="22"/>
        </w:rPr>
      </w:pPr>
      <w:r>
        <w:rPr>
          <w:sz w:val="22"/>
          <w:szCs w:val="22"/>
        </w:rPr>
      </w:r>
    </w:p>
    <w:p>
      <w:pPr>
        <w:pStyle w:val="Normal"/>
        <w:jc w:val="both"/>
        <w:rPr>
          <w:sz w:val="22"/>
          <w:szCs w:val="22"/>
        </w:rPr>
      </w:pPr>
      <w:r>
        <w:rPr>
          <w:sz w:val="22"/>
          <w:szCs w:val="22"/>
        </w:rPr>
        <w:t>“</w:t>
      </w:r>
      <w:r>
        <w:rPr>
          <w:sz w:val="22"/>
          <w:szCs w:val="22"/>
        </w:rPr>
        <w:t>Days” means the actual number of days in the period from, and including, the Optional Early Termination Date to, but excluding, the Lock-Up Date.</w:t>
      </w:r>
    </w:p>
    <w:p>
      <w:pPr>
        <w:pStyle w:val="Normal"/>
        <w:jc w:val="both"/>
        <w:rPr>
          <w:sz w:val="22"/>
          <w:szCs w:val="22"/>
        </w:rPr>
      </w:pPr>
      <w:r>
        <w:rPr>
          <w:sz w:val="22"/>
          <w:szCs w:val="22"/>
        </w:rPr>
      </w:r>
    </w:p>
    <w:p>
      <w:pPr>
        <w:pStyle w:val="Normal"/>
        <w:jc w:val="both"/>
        <w:rPr>
          <w:sz w:val="22"/>
          <w:szCs w:val="22"/>
        </w:rPr>
      </w:pPr>
      <w:r>
        <w:rPr>
          <w:sz w:val="22"/>
          <w:szCs w:val="22"/>
        </w:rPr>
        <w:t>b)  UBS may designate an Optional Early Termination Date at any time if i) a Credit Event has occurred with respect to Reference Asset ii) Calculation Agent determines in a commercially reasonable manner that the Issuer and a sufficient percentage of the holders of the Reference Asset agree to the terms for a Restructuring of such Reference Asset (if, but only if, such Restructuring will result in the issuance of non-transferable securities to such holders).</w:t>
      </w:r>
    </w:p>
    <w:p>
      <w:pPr>
        <w:pStyle w:val="Normal"/>
        <w:jc w:val="both"/>
        <w:rPr>
          <w:sz w:val="22"/>
          <w:szCs w:val="22"/>
        </w:rPr>
      </w:pPr>
      <w:r>
        <w:rPr>
          <w:sz w:val="22"/>
          <w:szCs w:val="22"/>
        </w:rPr>
      </w:r>
    </w:p>
    <w:p>
      <w:pPr>
        <w:pStyle w:val="Normal"/>
        <w:jc w:val="both"/>
        <w:rPr>
          <w:sz w:val="22"/>
          <w:szCs w:val="22"/>
        </w:rPr>
      </w:pPr>
      <w:r>
        <w:rPr>
          <w:sz w:val="22"/>
          <w:szCs w:val="22"/>
        </w:rPr>
        <w:t>for purposes of the above Optional Early Termination Provision the party designating the Optional Early Termination Date must notify to the designatee by delivering a notice in writing or telephonically (confirmed in writing) between the hours of 9:00 a.m. and 3:00 p.m., New York time, on the third Business Day before such Optional Early Termination Date.</w:t>
      </w:r>
    </w:p>
    <w:p>
      <w:pPr>
        <w:pStyle w:val="Normal"/>
        <w:jc w:val="both"/>
        <w:rPr>
          <w:sz w:val="22"/>
          <w:szCs w:val="22"/>
        </w:rPr>
      </w:pPr>
      <w:r>
        <w:rPr>
          <w:sz w:val="22"/>
          <w:szCs w:val="22"/>
        </w:rPr>
      </w:r>
    </w:p>
    <w:p>
      <w:pPr>
        <w:pStyle w:val="Normal"/>
        <w:jc w:val="both"/>
        <w:rPr>
          <w:sz w:val="22"/>
          <w:szCs w:val="22"/>
        </w:rPr>
      </w:pPr>
      <w:r>
        <w:rPr>
          <w:sz w:val="22"/>
          <w:szCs w:val="22"/>
        </w:rPr>
        <w:t>c) In addition, ECT shall be required to pay to UBS the Breakage Costs on the Payment Date following the Optional Early Termination Date (or, if the amount of such Breakage Costs is negative, UBS shall be required to pay the absolute value of such amount to ECT).</w:t>
      </w:r>
    </w:p>
    <w:p>
      <w:pPr>
        <w:pStyle w:val="Normal"/>
        <w:jc w:val="both"/>
        <w:rPr>
          <w:sz w:val="22"/>
          <w:szCs w:val="22"/>
        </w:rPr>
      </w:pPr>
      <w:r>
        <w:rPr>
          <w:sz w:val="22"/>
          <w:szCs w:val="22"/>
        </w:rPr>
      </w:r>
    </w:p>
    <w:p>
      <w:pPr>
        <w:pStyle w:val="Heading1"/>
        <w:ind w:hanging="0" w:start="0"/>
        <w:jc w:val="both"/>
        <w:rPr>
          <w:u w:val="none"/>
        </w:rPr>
      </w:pPr>
      <w:r>
        <w:rPr>
          <w:u w:val="none"/>
        </w:rPr>
        <w:t>Additional Representations:</w:t>
      </w:r>
    </w:p>
    <w:p>
      <w:pPr>
        <w:pStyle w:val="Normal"/>
        <w:jc w:val="both"/>
        <w:rPr>
          <w:sz w:val="22"/>
          <w:szCs w:val="22"/>
          <w:u w:val="none"/>
        </w:rPr>
      </w:pPr>
      <w:r>
        <w:rPr>
          <w:sz w:val="22"/>
          <w:szCs w:val="22"/>
          <w:u w:val="none"/>
        </w:rPr>
      </w:r>
    </w:p>
    <w:p>
      <w:pPr>
        <w:pStyle w:val="Normal"/>
        <w:jc w:val="both"/>
        <w:rPr>
          <w:sz w:val="22"/>
          <w:szCs w:val="22"/>
        </w:rPr>
      </w:pPr>
      <w:r>
        <w:rPr>
          <w:sz w:val="22"/>
          <w:szCs w:val="22"/>
        </w:rPr>
        <w:t>Each party represents to the other party on the Trade Date that: -</w:t>
      </w:r>
    </w:p>
    <w:p>
      <w:pPr>
        <w:pStyle w:val="Normal"/>
        <w:jc w:val="both"/>
        <w:rPr>
          <w:sz w:val="22"/>
          <w:szCs w:val="22"/>
        </w:rPr>
      </w:pPr>
      <w:r>
        <w:rPr>
          <w:sz w:val="22"/>
          <w:szCs w:val="22"/>
        </w:rPr>
      </w:r>
    </w:p>
    <w:p>
      <w:pPr>
        <w:pStyle w:val="Normal"/>
        <w:jc w:val="both"/>
        <w:rPr>
          <w:sz w:val="22"/>
          <w:szCs w:val="22"/>
        </w:rPr>
      </w:pPr>
      <w:r>
        <w:rPr>
          <w:sz w:val="22"/>
          <w:szCs w:val="22"/>
        </w:rPr>
        <w:t>(a)</w:t>
        <w:tab/>
        <w:t>In connection with this Transaction, neither the other party nor any of the other party’s Affiliates has made any representation whatsoever with respect to the Reference Security or any guarantor of any Reference Security (a “Guarantor”) on which it is relying or is entitled to rely.</w:t>
      </w:r>
    </w:p>
    <w:p>
      <w:pPr>
        <w:pStyle w:val="Normal"/>
        <w:jc w:val="both"/>
        <w:rPr>
          <w:sz w:val="22"/>
          <w:szCs w:val="22"/>
        </w:rPr>
      </w:pPr>
      <w:r>
        <w:rPr>
          <w:sz w:val="22"/>
          <w:szCs w:val="22"/>
        </w:rPr>
      </w:r>
    </w:p>
    <w:p>
      <w:pPr>
        <w:pStyle w:val="Normal"/>
        <w:jc w:val="both"/>
        <w:rPr>
          <w:sz w:val="22"/>
          <w:szCs w:val="22"/>
        </w:rPr>
      </w:pPr>
      <w:r>
        <w:rPr>
          <w:sz w:val="22"/>
          <w:szCs w:val="22"/>
        </w:rPr>
        <w:t xml:space="preserve">(b) </w:t>
        <w:tab/>
        <w:t>It is a sophisticated entity and has such knowledge and experience in financial and business matters and expertise in assessing credit risk and all other relevant risks that it is capable of evaluating the merits, risks and suitability of entering into this Transaction and that it is relying exclusively on its own information and credit analysis with respect to the Reference Security. It has not relied upon (i) the views or advice of the other party or any Affiliate of such other party or (ii) any information with respect to the Reference Security and/or the Reference Entity provided by the other party or any Affiliate of such other party (iii) any representations or warranties (written or oral) of the other party other than representations and warranties made by the other party in this Confirmation.</w:t>
      </w:r>
    </w:p>
    <w:p>
      <w:pPr>
        <w:pStyle w:val="Normal"/>
        <w:jc w:val="both"/>
        <w:rPr>
          <w:sz w:val="22"/>
          <w:szCs w:val="22"/>
        </w:rPr>
      </w:pPr>
      <w:r>
        <w:rPr>
          <w:sz w:val="22"/>
          <w:szCs w:val="22"/>
        </w:rPr>
      </w:r>
    </w:p>
    <w:p>
      <w:pPr>
        <w:pStyle w:val="Normal"/>
        <w:jc w:val="both"/>
        <w:rPr>
          <w:sz w:val="22"/>
          <w:szCs w:val="22"/>
        </w:rPr>
      </w:pPr>
      <w:r>
        <w:rPr>
          <w:sz w:val="22"/>
          <w:szCs w:val="22"/>
        </w:rPr>
        <w:t xml:space="preserve">(c) </w:t>
        <w:tab/>
        <w:t>It has entered into this Transaction as principal for its own account in the normal and ordinary course of its business, and the other party is not acting as a fiduciary or financial or investment adviser for it.  It is familiar with instruments having characteristics similar to those of this Transaction and it fully understands this Transaction and the nature and extent of its exposure to risk of loss.</w:t>
      </w:r>
    </w:p>
    <w:p>
      <w:pPr>
        <w:pStyle w:val="Normal"/>
        <w:jc w:val="both"/>
        <w:rPr>
          <w:sz w:val="22"/>
          <w:szCs w:val="22"/>
        </w:rPr>
      </w:pPr>
      <w:r>
        <w:rPr>
          <w:sz w:val="22"/>
          <w:szCs w:val="22"/>
        </w:rPr>
      </w:r>
    </w:p>
    <w:p>
      <w:pPr>
        <w:pStyle w:val="Normal"/>
        <w:jc w:val="both"/>
        <w:rPr>
          <w:sz w:val="22"/>
          <w:szCs w:val="22"/>
        </w:rPr>
      </w:pPr>
      <w:r>
        <w:rPr>
          <w:sz w:val="22"/>
          <w:szCs w:val="22"/>
        </w:rPr>
        <w:t>(d)</w:t>
        <w:tab/>
        <w:t>It has been, and will at all times continue to be, solely responsible for making an independent appraisal of and investigation into the financial condition, prospects, creditworthiness, affairs, status and business of the Reference Entity and/or the Reference Security.</w:t>
      </w:r>
    </w:p>
    <w:p>
      <w:pPr>
        <w:pStyle w:val="Normal"/>
        <w:jc w:val="both"/>
        <w:rPr>
          <w:sz w:val="22"/>
          <w:szCs w:val="22"/>
        </w:rPr>
      </w:pPr>
      <w:r>
        <w:rPr>
          <w:sz w:val="22"/>
          <w:szCs w:val="22"/>
        </w:rPr>
      </w:r>
    </w:p>
    <w:p>
      <w:pPr>
        <w:pStyle w:val="Heading1"/>
        <w:ind w:hanging="0" w:start="0"/>
        <w:jc w:val="both"/>
        <w:rPr>
          <w:u w:val="none"/>
        </w:rPr>
      </w:pPr>
      <w:r>
        <w:rPr>
          <w:u w:val="none"/>
        </w:rPr>
        <w:t>Additional Agreements:</w:t>
      </w:r>
    </w:p>
    <w:p>
      <w:pPr>
        <w:pStyle w:val="Normal"/>
        <w:jc w:val="both"/>
        <w:rPr>
          <w:sz w:val="22"/>
          <w:szCs w:val="22"/>
          <w:u w:val="none"/>
        </w:rPr>
      </w:pPr>
      <w:r>
        <w:rPr>
          <w:sz w:val="22"/>
          <w:szCs w:val="22"/>
          <w:u w:val="none"/>
        </w:rPr>
      </w:r>
    </w:p>
    <w:p>
      <w:pPr>
        <w:pStyle w:val="Normal"/>
        <w:jc w:val="both"/>
        <w:rPr>
          <w:sz w:val="22"/>
          <w:szCs w:val="22"/>
        </w:rPr>
      </w:pPr>
      <w:r>
        <w:rPr>
          <w:sz w:val="22"/>
          <w:szCs w:val="22"/>
        </w:rPr>
        <w:t>Each party agrees with the other that, so long as either party has or may have any obligation under this Transaction: -.</w:t>
      </w:r>
    </w:p>
    <w:p>
      <w:pPr>
        <w:pStyle w:val="Normal"/>
        <w:jc w:val="both"/>
        <w:rPr>
          <w:sz w:val="22"/>
          <w:szCs w:val="22"/>
        </w:rPr>
      </w:pPr>
      <w:r>
        <w:rPr>
          <w:sz w:val="22"/>
          <w:szCs w:val="22"/>
        </w:rPr>
      </w:r>
    </w:p>
    <w:p>
      <w:pPr>
        <w:pStyle w:val="Normal"/>
        <w:jc w:val="both"/>
        <w:rPr>
          <w:sz w:val="22"/>
          <w:szCs w:val="22"/>
        </w:rPr>
      </w:pPr>
      <w:r>
        <w:rPr>
          <w:sz w:val="22"/>
          <w:szCs w:val="22"/>
        </w:rPr>
        <w:t>(a)</w:t>
        <w:tab/>
        <w:t>This Transaction does not create either a direct or indirect obligation of the Reference Entity or any Guarantor or a direct or indirect participation in any obligation of the Reference Entity or any Guarantor owing to such party.</w:t>
      </w:r>
    </w:p>
    <w:p>
      <w:pPr>
        <w:pStyle w:val="Normal"/>
        <w:jc w:val="both"/>
        <w:rPr>
          <w:sz w:val="22"/>
          <w:szCs w:val="22"/>
        </w:rPr>
      </w:pPr>
      <w:r>
        <w:rPr>
          <w:sz w:val="22"/>
          <w:szCs w:val="22"/>
        </w:rPr>
      </w:r>
    </w:p>
    <w:p>
      <w:pPr>
        <w:pStyle w:val="Normal"/>
        <w:jc w:val="both"/>
        <w:rPr>
          <w:sz w:val="22"/>
          <w:szCs w:val="22"/>
        </w:rPr>
      </w:pPr>
      <w:r>
        <w:rPr>
          <w:sz w:val="22"/>
          <w:szCs w:val="22"/>
        </w:rPr>
        <w:t>(b)</w:t>
        <w:tab/>
        <w:t>Each party and its Affiliates and the Calculation Agent may deal in each Reference Security and may accept deposits from, make loans or otherwise extend credit to, and generally engage in any kind of commercial or investment banking or other business with the Reference Entity, any Affiliate of the Reference Entity, any other person or entity having obligations relating to the Reference Entity or any Guarantor and may act with respect to such business in the same manner as if this Transaction did not exist, regardless of whether any such action might have an adverse effect on the Reference Entity, the Reference Security, any Guarantor or the position of the other party to this Transaction or otherwise.</w:t>
      </w:r>
    </w:p>
    <w:p>
      <w:pPr>
        <w:pStyle w:val="Normal"/>
        <w:jc w:val="both"/>
        <w:rPr>
          <w:sz w:val="22"/>
          <w:szCs w:val="22"/>
        </w:rPr>
      </w:pPr>
      <w:r>
        <w:rPr>
          <w:sz w:val="22"/>
          <w:szCs w:val="22"/>
        </w:rPr>
      </w:r>
    </w:p>
    <w:p>
      <w:pPr>
        <w:pStyle w:val="Normal"/>
        <w:jc w:val="both"/>
        <w:rPr>
          <w:sz w:val="22"/>
          <w:szCs w:val="22"/>
        </w:rPr>
      </w:pPr>
      <w:r>
        <w:rPr>
          <w:sz w:val="22"/>
          <w:szCs w:val="22"/>
        </w:rPr>
        <w:t>(c)</w:t>
        <w:tab/>
        <w:t>Each party and its Affiliates and the Calculation Agent may, whether by virtue of the types of relationships described herein or otherwise, at the date hereof or at any time hereafter, be in possession of information in relation to the Reference Entity, the Reference Security or any Guarantor that is or may be material in the context of this Transaction and that may or may not be publicly available or known to the other party. This Transaction does not create any obligation on the part of such party and its Affiliates to disclose to the other party any such relationship or information (whether or not confidential).</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Concerning the Calculation Agent</w:t>
      </w:r>
    </w:p>
    <w:p>
      <w:pPr>
        <w:pStyle w:val="Normal"/>
        <w:jc w:val="both"/>
        <w:rPr>
          <w:sz w:val="22"/>
          <w:szCs w:val="22"/>
        </w:rPr>
      </w:pPr>
      <w:r>
        <w:rPr>
          <w:sz w:val="22"/>
          <w:szCs w:val="22"/>
        </w:rPr>
      </w:r>
    </w:p>
    <w:p>
      <w:pPr>
        <w:pStyle w:val="Normal"/>
        <w:jc w:val="both"/>
        <w:rPr>
          <w:sz w:val="22"/>
          <w:szCs w:val="22"/>
        </w:rPr>
      </w:pPr>
      <w:r>
        <w:rPr>
          <w:sz w:val="22"/>
          <w:szCs w:val="22"/>
        </w:rPr>
        <w:t>(a)</w:t>
        <w:tab/>
        <w:t>Each party agrees that the Calculation Agent is not acting as a fiduciary for or as an advisor to either party in respect of its duties as Calculation Agent in connection with this Transaction.</w:t>
      </w:r>
    </w:p>
    <w:p>
      <w:pPr>
        <w:pStyle w:val="Normal"/>
        <w:jc w:val="both"/>
        <w:rPr>
          <w:sz w:val="22"/>
          <w:szCs w:val="22"/>
        </w:rPr>
      </w:pPr>
      <w:r>
        <w:rPr>
          <w:sz w:val="22"/>
          <w:szCs w:val="22"/>
        </w:rPr>
      </w:r>
    </w:p>
    <w:p>
      <w:pPr>
        <w:pStyle w:val="Normal"/>
        <w:jc w:val="both"/>
        <w:rPr>
          <w:sz w:val="22"/>
          <w:szCs w:val="22"/>
        </w:rPr>
      </w:pPr>
      <w:r>
        <w:rPr>
          <w:sz w:val="22"/>
          <w:szCs w:val="22"/>
        </w:rPr>
        <w:t>(b)</w:t>
        <w:tab/>
        <w:t>Notwithstanding anything to the contrary, all calculations and determinations made by the Calculation Agent shall be made in good faith and in a commercially reasonable manner.</w:t>
      </w:r>
    </w:p>
    <w:p>
      <w:pPr>
        <w:pStyle w:val="Normal"/>
        <w:rPr>
          <w:b/>
          <w:bCs/>
          <w:sz w:val="24"/>
          <w:szCs w:val="24"/>
        </w:rPr>
      </w:pPr>
      <w:r>
        <w:rPr>
          <w:b/>
          <w:bCs/>
          <w:sz w:val="24"/>
          <w:szCs w:val="24"/>
        </w:rPr>
        <w:t>Account Details:</w:t>
      </w:r>
    </w:p>
    <w:p>
      <w:pPr>
        <w:pStyle w:val="Normal"/>
        <w:rPr>
          <w:b/>
          <w:bCs/>
          <w:sz w:val="22"/>
          <w:szCs w:val="22"/>
        </w:rPr>
      </w:pPr>
      <w:r>
        <w:rPr>
          <w:b/>
          <w:bCs/>
          <w:sz w:val="22"/>
          <w:szCs w:val="22"/>
        </w:rPr>
      </w:r>
    </w:p>
    <w:p>
      <w:pPr>
        <w:pStyle w:val="Normal"/>
        <w:rPr>
          <w:sz w:val="22"/>
          <w:szCs w:val="22"/>
        </w:rPr>
      </w:pPr>
      <w:r>
        <w:rPr>
          <w:sz w:val="22"/>
          <w:szCs w:val="22"/>
        </w:rPr>
        <w:t>UBS London Branch                  A/c No 101-WA-140007-000</w:t>
      </w:r>
    </w:p>
    <w:p>
      <w:pPr>
        <w:pStyle w:val="Normal"/>
        <w:rPr>
          <w:sz w:val="22"/>
          <w:szCs w:val="22"/>
        </w:rPr>
      </w:pPr>
      <w:r>
        <w:rPr>
          <w:sz w:val="22"/>
          <w:szCs w:val="22"/>
        </w:rPr>
        <w:t>USD Bank Account</w:t>
        <w:tab/>
        <w:t xml:space="preserve">            with UBS AG Stamford</w:t>
      </w:r>
    </w:p>
    <w:p>
      <w:pPr>
        <w:pStyle w:val="Normal"/>
        <w:rPr>
          <w:sz w:val="22"/>
          <w:szCs w:val="22"/>
        </w:rPr>
      </w:pPr>
      <w:r>
        <w:rPr>
          <w:sz w:val="22"/>
          <w:szCs w:val="22"/>
        </w:rPr>
        <w:tab/>
        <w:t xml:space="preserve">                                      Swift: UBSWUS33</w:t>
      </w:r>
    </w:p>
    <w:p>
      <w:pPr>
        <w:pStyle w:val="Normal"/>
        <w:rPr>
          <w:b/>
          <w:bCs/>
          <w:sz w:val="24"/>
          <w:szCs w:val="24"/>
        </w:rPr>
      </w:pPr>
      <w:r>
        <w:rPr>
          <w:b/>
          <w:bCs/>
          <w:sz w:val="24"/>
          <w:szCs w:val="24"/>
        </w:rPr>
        <w:t>Contact names at UBS:</w:t>
      </w:r>
    </w:p>
    <w:p>
      <w:pPr>
        <w:pStyle w:val="Normal"/>
        <w:rPr>
          <w:b/>
          <w:bCs/>
          <w:sz w:val="22"/>
          <w:szCs w:val="22"/>
        </w:rPr>
      </w:pPr>
      <w:r>
        <w:rPr>
          <w:b/>
          <w:bCs/>
          <w:sz w:val="22"/>
          <w:szCs w:val="22"/>
        </w:rPr>
      </w:r>
    </w:p>
    <w:p>
      <w:pPr>
        <w:pStyle w:val="Normal"/>
        <w:rPr>
          <w:sz w:val="22"/>
          <w:szCs w:val="22"/>
        </w:rPr>
      </w:pPr>
      <w:r>
        <w:rPr>
          <w:sz w:val="22"/>
          <w:szCs w:val="22"/>
        </w:rPr>
        <w:t>Rate Fixings:</w:t>
        <w:tab/>
        <w:tab/>
        <w:tab/>
        <w:t>Trade Processing: (44) 207 568 1785 / 568 7019</w:t>
      </w:r>
    </w:p>
    <w:p>
      <w:pPr>
        <w:pStyle w:val="Header"/>
        <w:tabs>
          <w:tab w:val="clear" w:pos="4153"/>
          <w:tab w:val="clear" w:pos="8306"/>
        </w:tabs>
        <w:rPr>
          <w:sz w:val="22"/>
          <w:szCs w:val="22"/>
        </w:rPr>
      </w:pPr>
      <w:r>
        <w:rPr>
          <w:sz w:val="22"/>
          <w:szCs w:val="22"/>
        </w:rPr>
      </w:r>
    </w:p>
    <w:p>
      <w:pPr>
        <w:pStyle w:val="Normal"/>
        <w:ind w:hanging="2880" w:start="2880" w:end="0"/>
        <w:rPr>
          <w:sz w:val="22"/>
          <w:szCs w:val="22"/>
        </w:rPr>
      </w:pPr>
      <w:r>
        <w:rPr>
          <w:sz w:val="22"/>
          <w:szCs w:val="22"/>
        </w:rPr>
        <w:t>Payments:</w:t>
        <w:tab/>
        <w:t xml:space="preserve">Payment Investigations: [Ruby Ho </w:t>
      </w:r>
    </w:p>
    <w:p>
      <w:pPr>
        <w:pStyle w:val="Normal"/>
        <w:ind w:hanging="2880" w:start="2880" w:end="0"/>
        <w:rPr>
          <w:sz w:val="22"/>
          <w:szCs w:val="22"/>
        </w:rPr>
      </w:pPr>
      <w:r>
        <w:rPr>
          <w:sz w:val="22"/>
          <w:szCs w:val="22"/>
        </w:rPr>
        <w:tab/>
        <w:t xml:space="preserve">or Katherine Hopson], London Operations, </w:t>
      </w:r>
    </w:p>
    <w:p>
      <w:pPr>
        <w:pStyle w:val="Normal"/>
        <w:ind w:hanging="2880" w:start="2880" w:end="0"/>
        <w:rPr>
          <w:sz w:val="22"/>
          <w:szCs w:val="22"/>
        </w:rPr>
      </w:pPr>
      <w:r>
        <w:rPr>
          <w:sz w:val="22"/>
          <w:szCs w:val="22"/>
        </w:rPr>
        <w:tab/>
        <w:t>UBS Warburg,  tel:  0207-568-0622 (alt: UBS Warburg London switchboard 0207-568-1000)</w:t>
      </w:r>
    </w:p>
    <w:p>
      <w:pPr>
        <w:pStyle w:val="Normal"/>
        <w:rPr>
          <w:sz w:val="22"/>
          <w:szCs w:val="22"/>
        </w:rPr>
      </w:pPr>
      <w:r>
        <w:rPr>
          <w:sz w:val="22"/>
          <w:szCs w:val="22"/>
        </w:rPr>
        <w:t>Confirmation Queries:</w:t>
        <w:tab/>
        <w:tab/>
        <w:t>Confirmation Control: (44) 207 567 3067</w:t>
      </w:r>
    </w:p>
    <w:p>
      <w:pPr>
        <w:pStyle w:val="Normal"/>
        <w:rPr>
          <w:sz w:val="22"/>
          <w:szCs w:val="22"/>
        </w:rPr>
      </w:pPr>
      <w:r>
        <w:rPr>
          <w:sz w:val="22"/>
          <w:szCs w:val="22"/>
        </w:rPr>
      </w:r>
    </w:p>
    <w:p>
      <w:pPr>
        <w:pStyle w:val="Normal"/>
        <w:rPr>
          <w:sz w:val="22"/>
          <w:szCs w:val="22"/>
        </w:rPr>
      </w:pPr>
      <w:r>
        <w:rPr>
          <w:sz w:val="22"/>
          <w:szCs w:val="22"/>
        </w:rPr>
        <w:t>ISDA Documentation:</w:t>
        <w:tab/>
        <w:tab/>
        <w:t>Credit Risk Management: (44) 207 568 9645</w:t>
      </w:r>
    </w:p>
    <w:p>
      <w:pPr>
        <w:pStyle w:val="Normal"/>
        <w:rPr>
          <w:sz w:val="22"/>
          <w:szCs w:val="22"/>
        </w:rPr>
      </w:pPr>
      <w:r>
        <w:rPr>
          <w:sz w:val="22"/>
          <w:szCs w:val="22"/>
        </w:rPr>
      </w:r>
    </w:p>
    <w:p>
      <w:pPr>
        <w:pStyle w:val="Normal"/>
        <w:rPr>
          <w:sz w:val="22"/>
          <w:szCs w:val="22"/>
        </w:rPr>
      </w:pPr>
      <w:r>
        <w:rPr>
          <w:sz w:val="22"/>
          <w:szCs w:val="22"/>
        </w:rPr>
        <w:t>Telex:</w:t>
        <w:tab/>
        <w:tab/>
        <w:tab/>
        <w:tab/>
        <w:t>887434 SBCO G</w:t>
      </w:r>
    </w:p>
    <w:p>
      <w:pPr>
        <w:pStyle w:val="Normal"/>
        <w:rPr>
          <w:sz w:val="22"/>
          <w:szCs w:val="22"/>
        </w:rPr>
      </w:pPr>
      <w:r>
        <w:rPr>
          <w:sz w:val="22"/>
          <w:szCs w:val="22"/>
        </w:rPr>
      </w:r>
    </w:p>
    <w:p>
      <w:pPr>
        <w:pStyle w:val="Normal"/>
        <w:rPr>
          <w:sz w:val="22"/>
          <w:szCs w:val="22"/>
        </w:rPr>
      </w:pPr>
      <w:r>
        <w:rPr>
          <w:sz w:val="22"/>
          <w:szCs w:val="22"/>
        </w:rPr>
        <w:t>Swift:</w:t>
        <w:tab/>
        <w:tab/>
        <w:tab/>
        <w:tab/>
        <w:t>UBSWGB22</w:t>
      </w:r>
    </w:p>
    <w:p>
      <w:pPr>
        <w:pStyle w:val="Normal"/>
        <w:rPr>
          <w:sz w:val="22"/>
          <w:szCs w:val="22"/>
        </w:rPr>
      </w:pPr>
      <w:r>
        <w:rPr>
          <w:sz w:val="22"/>
          <w:szCs w:val="22"/>
        </w:rPr>
      </w:r>
    </w:p>
    <w:p>
      <w:pPr>
        <w:pStyle w:val="Normal"/>
        <w:rPr>
          <w:sz w:val="22"/>
          <w:szCs w:val="22"/>
        </w:rPr>
      </w:pPr>
      <w:r>
        <w:rPr>
          <w:sz w:val="22"/>
          <w:szCs w:val="22"/>
        </w:rPr>
        <w:t>Fax:</w:t>
        <w:tab/>
        <w:tab/>
        <w:tab/>
        <w:tab/>
        <w:t>(44) 207 567 2685</w:t>
      </w:r>
    </w:p>
    <w:p>
      <w:pPr>
        <w:pStyle w:val="Header"/>
        <w:tabs>
          <w:tab w:val="clear" w:pos="4153"/>
          <w:tab w:val="clear" w:pos="8306"/>
        </w:tabs>
        <w:rPr>
          <w:sz w:val="22"/>
          <w:szCs w:val="22"/>
        </w:rPr>
      </w:pPr>
      <w:r>
        <w:rPr>
          <w:sz w:val="22"/>
          <w:szCs w:val="22"/>
        </w:rPr>
      </w:r>
    </w:p>
    <w:p>
      <w:pPr>
        <w:pStyle w:val="Normal"/>
        <w:ind w:hanging="2880" w:start="2880" w:end="0"/>
        <w:rPr>
          <w:sz w:val="22"/>
          <w:szCs w:val="22"/>
        </w:rPr>
      </w:pPr>
      <w:r>
        <w:rPr>
          <w:sz w:val="22"/>
          <w:szCs w:val="22"/>
        </w:rPr>
        <w:t>Address:</w:t>
        <w:tab/>
        <w:t>UBS AG</w:t>
      </w:r>
    </w:p>
    <w:p>
      <w:pPr>
        <w:pStyle w:val="Normal"/>
        <w:ind w:hanging="2880" w:start="2880" w:end="0"/>
        <w:rPr>
          <w:sz w:val="22"/>
          <w:szCs w:val="22"/>
        </w:rPr>
      </w:pPr>
      <w:r>
        <w:rPr>
          <w:sz w:val="22"/>
          <w:szCs w:val="22"/>
        </w:rPr>
        <w:tab/>
        <w:t>100 Liverpool Street</w:t>
      </w:r>
    </w:p>
    <w:p>
      <w:pPr>
        <w:pStyle w:val="Normal"/>
        <w:ind w:hanging="2880" w:start="2880" w:end="0"/>
        <w:rPr>
          <w:sz w:val="22"/>
          <w:szCs w:val="22"/>
        </w:rPr>
      </w:pPr>
      <w:r>
        <w:rPr>
          <w:sz w:val="22"/>
          <w:szCs w:val="22"/>
        </w:rPr>
        <w:tab/>
        <w:t>London EC2M 2RH</w:t>
      </w:r>
    </w:p>
    <w:p>
      <w:pPr>
        <w:pStyle w:val="Normal"/>
        <w:rPr>
          <w:sz w:val="22"/>
          <w:szCs w:val="22"/>
        </w:rPr>
      </w:pPr>
      <w:r>
        <w:rPr>
          <w:sz w:val="22"/>
          <w:szCs w:val="22"/>
        </w:rPr>
        <w:tab/>
      </w:r>
    </w:p>
    <w:p>
      <w:pPr>
        <w:pStyle w:val="Normal"/>
        <w:rPr>
          <w:sz w:val="22"/>
          <w:szCs w:val="22"/>
        </w:rPr>
      </w:pPr>
      <w:r>
        <w:rPr>
          <w:sz w:val="22"/>
          <w:szCs w:val="22"/>
        </w:rPr>
        <w:t>Please confirm that the foregoing correctly sets forth the terms and conditions of our agreement by executing a copy of this Confirmation and returning it to us or by sending to us a letter or facsimile substantially similar to this letter, which letter or facsimile sets forth the material terms of the Transaction to which this Confirmation relates and indicates your agreement to those terms or by sending to us a return letter or facsimile in the form attached.</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Yours faithfully</w:t>
      </w:r>
    </w:p>
    <w:p>
      <w:pPr>
        <w:pStyle w:val="Normal"/>
        <w:rPr>
          <w:sz w:val="22"/>
          <w:szCs w:val="22"/>
        </w:rPr>
      </w:pPr>
      <w:r>
        <w:rPr>
          <w:sz w:val="22"/>
          <w:szCs w:val="22"/>
        </w:rPr>
        <w:t xml:space="preserve">For and on Behalf of </w:t>
      </w:r>
    </w:p>
    <w:p>
      <w:pPr>
        <w:pStyle w:val="Normal"/>
        <w:rPr>
          <w:sz w:val="22"/>
          <w:szCs w:val="22"/>
        </w:rPr>
      </w:pPr>
      <w:r>
        <w:rPr>
          <w:sz w:val="22"/>
          <w:szCs w:val="22"/>
        </w:rPr>
        <w:t>UBS AG, London Branch</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By:</w:t>
        <w:tab/>
        <w:tab/>
        <w:tab/>
        <w:tab/>
        <w:tab/>
        <w:tab/>
        <w:t>By:</w:t>
        <w:tab/>
      </w:r>
    </w:p>
    <w:p>
      <w:pPr>
        <w:pStyle w:val="Normal"/>
        <w:rPr>
          <w:sz w:val="22"/>
          <w:szCs w:val="22"/>
        </w:rPr>
      </w:pPr>
      <w:r>
        <w:rPr>
          <w:sz w:val="22"/>
          <w:szCs w:val="22"/>
        </w:rPr>
        <w:tab/>
        <w:t xml:space="preserve"> </w:t>
        <w:tab/>
        <w:tab/>
        <w:t xml:space="preserve"> </w:t>
      </w:r>
    </w:p>
    <w:p>
      <w:pPr>
        <w:pStyle w:val="Normal"/>
        <w:rPr>
          <w:sz w:val="22"/>
          <w:szCs w:val="22"/>
        </w:rPr>
      </w:pPr>
      <w:r>
        <w:rPr>
          <w:sz w:val="22"/>
          <w:szCs w:val="22"/>
        </w:rPr>
        <w:t>Name :</w:t>
        <w:tab/>
        <w:tab/>
        <w:tab/>
        <w:tab/>
        <w:tab/>
        <w:tab/>
        <w:t>Name :</w:t>
        <w:tab/>
      </w:r>
    </w:p>
    <w:p>
      <w:pPr>
        <w:pStyle w:val="Normal"/>
        <w:rPr>
          <w:sz w:val="22"/>
          <w:szCs w:val="22"/>
        </w:rPr>
      </w:pPr>
      <w:r>
        <w:rPr>
          <w:sz w:val="22"/>
          <w:szCs w:val="22"/>
        </w:rPr>
        <w:t>Title:</w:t>
        <w:tab/>
        <w:tab/>
        <w:tab/>
        <w:tab/>
        <w:tab/>
        <w:tab/>
        <w:t>Title:</w:t>
        <w:tab/>
      </w:r>
    </w:p>
    <w:p>
      <w:pPr>
        <w:pStyle w:val="Normal"/>
        <w:rPr>
          <w:sz w:val="22"/>
          <w:szCs w:val="22"/>
        </w:rPr>
      </w:pPr>
      <w:r>
        <w:rPr>
          <w:sz w:val="22"/>
          <w:szCs w:val="22"/>
        </w:rPr>
      </w:r>
    </w:p>
    <w:p>
      <w:pPr>
        <w:pStyle w:val="Normal"/>
        <w:rPr>
          <w:sz w:val="22"/>
          <w:szCs w:val="22"/>
        </w:rPr>
      </w:pPr>
      <w:r>
        <w:rPr>
          <w:sz w:val="22"/>
          <w:szCs w:val="22"/>
        </w:rPr>
      </w:r>
    </w:p>
    <w:p>
      <w:pPr>
        <w:pStyle w:val="Normal"/>
        <w:ind w:end="-1054"/>
        <w:jc w:val="both"/>
        <w:rPr>
          <w:sz w:val="22"/>
          <w:szCs w:val="22"/>
        </w:rPr>
      </w:pPr>
      <w:r>
        <w:rPr>
          <w:sz w:val="22"/>
          <w:szCs w:val="22"/>
        </w:rPr>
        <w:t>Acknowledged and agreed by ECT as of the Trade Date specified above:</w:t>
      </w:r>
    </w:p>
    <w:p>
      <w:pPr>
        <w:pStyle w:val="Normal"/>
        <w:ind w:end="-1054"/>
        <w:jc w:val="both"/>
        <w:rPr>
          <w:sz w:val="22"/>
          <w:szCs w:val="22"/>
        </w:rPr>
      </w:pPr>
      <w:r>
        <w:rPr>
          <w:sz w:val="22"/>
          <w:szCs w:val="22"/>
        </w:rPr>
      </w:r>
    </w:p>
    <w:p>
      <w:pPr>
        <w:pStyle w:val="Normal"/>
        <w:ind w:end="-1054"/>
        <w:jc w:val="both"/>
        <w:rPr>
          <w:sz w:val="22"/>
          <w:szCs w:val="22"/>
        </w:rPr>
      </w:pPr>
      <w:r>
        <w:rPr>
          <w:sz w:val="22"/>
          <w:szCs w:val="22"/>
        </w:rPr>
      </w:r>
    </w:p>
    <w:p>
      <w:pPr>
        <w:pStyle w:val="Normal"/>
        <w:tabs>
          <w:tab w:val="clear" w:pos="720"/>
          <w:tab w:val="left" w:pos="851" w:leader="none"/>
          <w:tab w:val="left" w:pos="4536" w:leader="none"/>
          <w:tab w:val="left" w:pos="5670" w:leader="none"/>
        </w:tabs>
        <w:ind w:end="-1054"/>
        <w:jc w:val="both"/>
        <w:rPr>
          <w:sz w:val="22"/>
          <w:szCs w:val="22"/>
        </w:rPr>
      </w:pPr>
      <w:r>
        <w:rPr>
          <w:sz w:val="22"/>
          <w:szCs w:val="22"/>
        </w:rPr>
        <w:t>By:</w:t>
        <w:tab/>
        <w:tab/>
        <w:t>By:</w:t>
        <w:tab/>
      </w:r>
    </w:p>
    <w:p>
      <w:pPr>
        <w:pStyle w:val="Normal"/>
        <w:tabs>
          <w:tab w:val="clear" w:pos="720"/>
          <w:tab w:val="left" w:pos="851" w:leader="none"/>
          <w:tab w:val="left" w:pos="4536" w:leader="none"/>
          <w:tab w:val="left" w:pos="5670" w:leader="none"/>
        </w:tabs>
        <w:ind w:end="-1054"/>
        <w:jc w:val="both"/>
        <w:rPr>
          <w:sz w:val="22"/>
          <w:szCs w:val="22"/>
        </w:rPr>
      </w:pPr>
      <w:r>
        <w:rPr>
          <w:sz w:val="22"/>
          <w:szCs w:val="22"/>
        </w:rPr>
        <w:tab/>
        <w:tab/>
        <w:tab/>
      </w:r>
    </w:p>
    <w:p>
      <w:pPr>
        <w:pStyle w:val="Normal"/>
        <w:tabs>
          <w:tab w:val="clear" w:pos="720"/>
          <w:tab w:val="left" w:pos="851" w:leader="none"/>
          <w:tab w:val="left" w:pos="4536" w:leader="none"/>
          <w:tab w:val="left" w:pos="5670" w:leader="none"/>
        </w:tabs>
        <w:ind w:end="-1054"/>
        <w:jc w:val="both"/>
        <w:rPr>
          <w:sz w:val="22"/>
          <w:szCs w:val="22"/>
        </w:rPr>
      </w:pPr>
      <w:r>
        <w:rPr>
          <w:sz w:val="22"/>
          <w:szCs w:val="22"/>
        </w:rPr>
        <w:t>Name :</w:t>
        <w:tab/>
        <w:tab/>
        <w:t>Name :</w:t>
        <w:tab/>
      </w:r>
    </w:p>
    <w:p>
      <w:pPr>
        <w:pStyle w:val="Normal"/>
        <w:ind w:end="-1054"/>
        <w:jc w:val="both"/>
        <w:rPr>
          <w:sz w:val="22"/>
          <w:szCs w:val="22"/>
        </w:rPr>
      </w:pPr>
      <w:r>
        <w:rPr>
          <w:sz w:val="22"/>
          <w:szCs w:val="22"/>
        </w:rPr>
      </w:r>
    </w:p>
    <w:sectPr>
      <w:headerReference w:type="default" r:id="rId3"/>
      <w:type w:val="nextPage"/>
      <w:pgSz w:w="11906" w:h="16838"/>
      <w:pgMar w:left="1800" w:right="1800" w:gutter="0" w:header="709"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ahoma">
    <w:charset w:val="01"/>
    <w:family w:val="swiss"/>
    <w:pitch w:val="variable"/>
  </w:font>
  <w:font w:name="Futura BQ">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2880"/>
        </w:tabs>
        <w:ind w:start="2880" w:hanging="28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bCs/>
      <w:sz w:val="22"/>
      <w:szCs w:val="22"/>
      <w:u w:val="single"/>
    </w:rPr>
  </w:style>
  <w:style w:type="paragraph" w:styleId="Heading2">
    <w:name w:val="heading 2"/>
    <w:basedOn w:val="Normal"/>
    <w:next w:val="Normal"/>
    <w:qFormat/>
    <w:pPr>
      <w:keepNext w:val="true"/>
      <w:widowControl w:val="false"/>
      <w:numPr>
        <w:ilvl w:val="1"/>
        <w:numId w:val="1"/>
      </w:numPr>
      <w:outlineLvl w:val="1"/>
    </w:pPr>
    <w:rPr>
      <w:b/>
      <w:bCs/>
      <w:i/>
      <w:iCs/>
      <w:sz w:val="22"/>
      <w:szCs w:val="22"/>
      <w:lang w:val="en-US"/>
    </w:rPr>
  </w:style>
  <w:style w:type="paragraph" w:styleId="Heading3">
    <w:name w:val="heading 3"/>
    <w:basedOn w:val="Normal"/>
    <w:next w:val="Normal"/>
    <w:qFormat/>
    <w:pPr>
      <w:keepNext w:val="true"/>
      <w:widowControl w:val="false"/>
      <w:numPr>
        <w:ilvl w:val="2"/>
        <w:numId w:val="1"/>
      </w:numPr>
      <w:outlineLvl w:val="2"/>
    </w:pPr>
    <w:rPr>
      <w:i/>
      <w:iCs/>
      <w:sz w:val="22"/>
      <w:szCs w:val="22"/>
      <w:lang w:val="en-US"/>
    </w:rPr>
  </w:style>
  <w:style w:type="paragraph" w:styleId="Heading4">
    <w:name w:val="heading 4"/>
    <w:basedOn w:val="Normal"/>
    <w:next w:val="Normal"/>
    <w:qFormat/>
    <w:pPr>
      <w:keepNext w:val="true"/>
      <w:numPr>
        <w:ilvl w:val="3"/>
        <w:numId w:val="1"/>
      </w:numPr>
      <w:tabs>
        <w:tab w:val="left" w:pos="720" w:leader="none"/>
        <w:tab w:val="left" w:pos="1200" w:leader="none"/>
        <w:tab w:val="left" w:pos="2880" w:leader="none"/>
        <w:tab w:val="left" w:pos="4320" w:leader="none"/>
        <w:tab w:val="left" w:pos="5760" w:leader="none"/>
      </w:tabs>
      <w:jc w:val="both"/>
      <w:outlineLvl w:val="3"/>
    </w:pPr>
    <w:rPr>
      <w:b/>
      <w:bCs/>
      <w:sz w:val="22"/>
      <w:szCs w:val="22"/>
      <w:u w:val="single"/>
    </w:rPr>
  </w:style>
  <w:style w:type="paragraph" w:styleId="Heading5">
    <w:name w:val="heading 5"/>
    <w:basedOn w:val="Normal"/>
    <w:next w:val="Normal"/>
    <w:qFormat/>
    <w:pPr>
      <w:keepNext w:val="true"/>
      <w:numPr>
        <w:ilvl w:val="4"/>
        <w:numId w:val="1"/>
      </w:numPr>
      <w:tabs>
        <w:tab w:val="left" w:pos="720" w:leader="none"/>
        <w:tab w:val="left" w:pos="1200" w:leader="none"/>
        <w:tab w:val="left" w:pos="2880" w:leader="none"/>
        <w:tab w:val="left" w:pos="4320" w:leader="none"/>
        <w:tab w:val="left" w:pos="5760" w:leader="none"/>
      </w:tabs>
      <w:jc w:val="both"/>
      <w:outlineLvl w:val="4"/>
    </w:pPr>
    <w:rPr>
      <w:b/>
      <w:bCs/>
      <w:i/>
      <w:iCs/>
      <w:sz w:val="22"/>
      <w:szCs w:val="22"/>
    </w:rPr>
  </w:style>
  <w:style w:type="paragraph" w:styleId="Heading6">
    <w:name w:val="heading 6"/>
    <w:basedOn w:val="Normal"/>
    <w:next w:val="Normal"/>
    <w:qFormat/>
    <w:pPr>
      <w:keepNext w:val="true"/>
      <w:numPr>
        <w:ilvl w:val="5"/>
        <w:numId w:val="1"/>
      </w:numPr>
      <w:ind w:hanging="0" w:start="0" w:end="-1054"/>
      <w:jc w:val="both"/>
      <w:outlineLvl w:val="5"/>
    </w:pPr>
    <w:rPr>
      <w:b/>
      <w:bCs/>
      <w:sz w:val="24"/>
      <w:szCs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z w:val="22"/>
      <w:szCs w:val="22"/>
    </w:rPr>
  </w:style>
  <w:style w:type="paragraph" w:styleId="BodyTextIndent2">
    <w:name w:val="Body Text Indent 2"/>
    <w:basedOn w:val="Normal"/>
    <w:qFormat/>
    <w:pPr>
      <w:tabs>
        <w:tab w:val="clear" w:pos="720"/>
        <w:tab w:val="left" w:pos="2880" w:leader="none"/>
      </w:tabs>
      <w:ind w:hanging="2160" w:start="2880" w:end="0"/>
    </w:pPr>
    <w:rPr>
      <w:sz w:val="22"/>
      <w:szCs w:val="22"/>
    </w:rPr>
  </w:style>
  <w:style w:type="paragraph" w:styleId="BodyText2">
    <w:name w:val="Body Text 2"/>
    <w:basedOn w:val="Normal"/>
    <w:qFormat/>
    <w:pPr>
      <w:tabs>
        <w:tab w:val="clear" w:pos="720"/>
        <w:tab w:val="left" w:pos="-720" w:leader="none"/>
        <w:tab w:val="left" w:pos="2880" w:leader="none"/>
      </w:tabs>
      <w:ind w:hanging="2880" w:start="2880" w:end="0"/>
      <w:jc w:val="both"/>
    </w:pPr>
    <w:rPr>
      <w:color w:val="000000"/>
      <w:lang w:val="en-US"/>
    </w:rPr>
  </w:style>
  <w:style w:type="paragraph" w:styleId="BodyTextIndent3">
    <w:name w:val="Body Text Indent 3"/>
    <w:basedOn w:val="Normal"/>
    <w:qFormat/>
    <w:pPr>
      <w:tabs>
        <w:tab w:val="clear" w:pos="720"/>
        <w:tab w:val="left" w:pos="2880" w:leader="none"/>
      </w:tabs>
      <w:ind w:hanging="0" w:start="2070" w:end="0"/>
    </w:pPr>
    <w:rPr>
      <w:sz w:val="16"/>
      <w:szCs w:val="16"/>
    </w:rPr>
  </w:style>
  <w:style w:type="paragraph" w:styleId="Footer">
    <w:name w:val="footer"/>
    <w:basedOn w:val="Normal"/>
    <w:pPr>
      <w:tabs>
        <w:tab w:val="clear" w:pos="720"/>
        <w:tab w:val="center" w:pos="4153" w:leader="none"/>
        <w:tab w:val="right" w:pos="8306" w:leader="none"/>
      </w:tabs>
    </w:pPr>
    <w:rPr>
      <w:sz w:val="22"/>
      <w:szCs w:val="22"/>
    </w:rPr>
  </w:style>
  <w:style w:type="paragraph" w:styleId="DocumentMap">
    <w:name w:val="Document Map"/>
    <w:basedOn w:val="Normal"/>
    <w:qFormat/>
    <w:pPr>
      <w:shd w:fill="000080" w:val="clear"/>
    </w:pPr>
    <w:rPr>
      <w:rFonts w:ascii="Tahoma" w:hAnsi="Tahoma" w:eastAsia="Tahoma" w:cs="Tahoma"/>
    </w:rPr>
  </w:style>
  <w:style w:type="paragraph" w:styleId="BlockText">
    <w:name w:val="Block Text"/>
    <w:basedOn w:val="Normal"/>
    <w:qFormat/>
    <w:pPr>
      <w:ind w:hanging="2880" w:start="2880" w:end="-1054"/>
      <w:jc w:val="both"/>
    </w:pPr>
    <w:rPr>
      <w:sz w:val="22"/>
      <w:szCs w:val="22"/>
    </w:rPr>
  </w:style>
  <w:style w:type="paragraph" w:styleId="BodyText3">
    <w:name w:val="Body Text 3"/>
    <w:basedOn w:val="Normal"/>
    <w:qFormat/>
    <w:pPr>
      <w:ind w:hanging="0" w:start="0" w:end="-1054"/>
      <w:jc w:val="both"/>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2000-07-25T11:31:00Z</dcterms:created>
  <dc:creator>Salma Khan</dc:creator>
  <dc:description/>
  <dc:language>en-CA</dc:language>
  <cp:lastModifiedBy>Greg Mackay</cp:lastModifiedBy>
  <cp:lastPrinted>2000-07-27T11:32:00Z</cp:lastPrinted>
  <dcterms:modified xsi:type="dcterms:W3CDTF">2000-07-27T15:40:00Z</dcterms:modified>
  <cp:revision>6</cp:revision>
  <dc:subject/>
  <dc:title>abcde   DRAFT CONFIRMATION</dc:title>
</cp:coreProperties>
</file>