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SECONDMENT AGREEMENT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THIS AGREEMENT is made and entered into as of </w:t>
      </w:r>
      <w:r>
        <w:rPr>
          <w:rFonts w:cs="Times New Roman" w:ascii="Times New Roman" w:hAnsi="Times New Roman"/>
          <w:sz w:val="22"/>
          <w:u w:val="single"/>
        </w:rPr>
        <w:tab/>
        <w:tab/>
        <w:tab/>
      </w:r>
      <w:r>
        <w:rPr>
          <w:rFonts w:cs="Times New Roman" w:ascii="Times New Roman" w:hAnsi="Times New Roman"/>
          <w:sz w:val="22"/>
        </w:rPr>
        <w:t xml:space="preserve">, between </w:t>
      </w:r>
      <w:r>
        <w:rPr>
          <w:rFonts w:cs="Times New Roman" w:ascii="Times New Roman" w:hAnsi="Times New Roman"/>
          <w:b/>
          <w:sz w:val="22"/>
        </w:rPr>
        <w:t>ENRON CAPITAL &amp; TRADE RESOURCES KOREA CORP.</w:t>
      </w:r>
      <w:r>
        <w:rPr>
          <w:rFonts w:cs="Times New Roman" w:ascii="Times New Roman" w:hAnsi="Times New Roman"/>
          <w:sz w:val="22"/>
        </w:rPr>
        <w:t xml:space="preserve">, a corporation incorporated in the State of Delaware, United States of America acting through its registered branch in Seoul, Korea and having its place of business at Room No. 705, Daejong Building, 143-48 Samsung-Dong, Kangnam-ku, Seoul, Korea (“ECTKC”) and </w:t>
      </w:r>
      <w:r>
        <w:rPr>
          <w:rFonts w:cs="Times New Roman" w:ascii="Times New Roman" w:hAnsi="Times New Roman"/>
          <w:b/>
          <w:sz w:val="22"/>
        </w:rPr>
        <w:t>ENRON OVERSEAS SERVICES CORP.</w:t>
      </w:r>
      <w:r>
        <w:rPr>
          <w:rFonts w:cs="Times New Roman" w:ascii="Times New Roman" w:hAnsi="Times New Roman"/>
          <w:sz w:val="22"/>
        </w:rPr>
        <w:t>, a company incorporated in the Cayman Islands and having its registered office at P.O. Box 258G, Grand Cayman, BWI (“EOSC”).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For and in consideration of the mutual promises and conditions contained herein, the parties hereto agree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t>ARTICLE I.</w:t>
        <w:tab/>
        <w:tab/>
        <w:t>PURPOSE AND TERM</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1.1</w:t>
        <w:tab/>
        <w:t>In order to assist in the economical and orderly conduct of ECTKC’s international operations, EOSC agrees to second, and ECTKC agrees to accept such secondment subject to the terms and conditions set forth in this Agreement, certain employees to ECTKC to support its staff, technical, support and personnel functions (“Employees” or “Seconded Employees”)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1" w:end="0"/>
        <w:jc w:val="both"/>
        <w:rPr>
          <w:rFonts w:ascii="Times New Roman" w:hAnsi="Times New Roman" w:cs="Times New Roman"/>
          <w:sz w:val="22"/>
        </w:rPr>
      </w:pPr>
      <w:r>
        <w:rPr>
          <w:rFonts w:cs="Times New Roman" w:ascii="Times New Roman" w:hAnsi="Times New Roman"/>
          <w:sz w:val="22"/>
        </w:rPr>
        <w:t>1.2</w:t>
        <w:tab/>
        <w:t>This Agreement shall become effective on 1 January 1999 and EOSC shall from that date make Seconded Employees available to ECTKC pursuant to the terms of this Agreement, and shall continue thereafter indefinitely, unless terminated upon prior written notice by either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t>ARTICLE II.</w:t>
        <w:tab/>
        <w:tab/>
        <w:t>SECONDMENT</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sz w:val="22"/>
        </w:rPr>
        <w:t>2.1</w:t>
        <w:tab/>
        <w:t>EOSC shall provide personnel employed by EOSC to work on projects and assignments of ECTKC or clients of ECTKC in any geographical location where ECTKC or clients of ECTKC conduct business with the understanding that such personnel, in most cases,</w:t>
      </w:r>
      <w:r>
        <w:rPr>
          <w:rFonts w:cs="Times New Roman" w:ascii="Times New Roman" w:hAnsi="Times New Roman"/>
          <w:b/>
          <w:sz w:val="22"/>
        </w:rPr>
        <w:t xml:space="preserve"> </w:t>
      </w:r>
      <w:r>
        <w:rPr>
          <w:rFonts w:cs="Times New Roman" w:ascii="Times New Roman" w:hAnsi="Times New Roman"/>
          <w:sz w:val="22"/>
        </w:rPr>
        <w:t>will be located to Korea.</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hanging="11" w:end="0"/>
        <w:jc w:val="both"/>
        <w:rPr>
          <w:rFonts w:ascii="Times New Roman" w:hAnsi="Times New Roman" w:cs="Times New Roman"/>
          <w:sz w:val="22"/>
        </w:rPr>
      </w:pPr>
      <w:r>
        <w:rPr>
          <w:rFonts w:cs="Times New Roman" w:ascii="Times New Roman" w:hAnsi="Times New Roman"/>
          <w:sz w:val="22"/>
        </w:rPr>
        <w:t>2.2</w:t>
        <w:tab/>
        <w:t>EOSC understands and agrees that the Employees shall be provided on a case-by-case, as-contracted-for, basis as agreed upon and that ECTKC shall, in its sole discretion, determine its need, if any, for Employees.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2.3</w:t>
        <w:tab/>
        <w:t>When requesting Employees, ECTKC shall indicate the labor specifications required in a format agreeable to the parties, including the applicable compensation arrangement and the duration of the secondment applicable to the request.</w:t>
      </w:r>
    </w:p>
    <w:p>
      <w:pPr>
        <w:pStyle w:val="Normal"/>
        <w:jc w:val="both"/>
        <w:rPr>
          <w:rFonts w:ascii="Times New Roman" w:hAnsi="Times New Roman" w:cs="Times New Roman"/>
          <w:sz w:val="22"/>
        </w:rPr>
      </w:pPr>
      <w:r>
        <w:rPr>
          <w:rFonts w:cs="Times New Roman" w:ascii="Times New Roman" w:hAnsi="Times New Roman"/>
          <w:sz w:val="22"/>
        </w:rPr>
      </w:r>
    </w:p>
    <w:p>
      <w:pPr>
        <w:pStyle w:val="BodyText"/>
        <w:rPr/>
      </w:pPr>
      <w:r>
        <w:rPr/>
        <w:t>2.4</w:t>
        <w:tab/>
        <w:t>ECTKC shall have sole discretion to establish the minimum qualifications necessary for the performance of any Seconded Employees to be rendered under and pursuant to this Agreement and the labor conditions and the compensation and remuneration with respect thereto. All Seconded Employees shall be under the control and supervision of ECTKC during the period of secondment and ECTKC shall in its sole discretion assign the Employees to the necessary work to be performed.  Further, if at any time, in collaboration with EOSC, ECTKC determines that the services performed under and pursuant to this Agreement by any Seconded Employee are not satisfactory, ECTKC will so notify EOSC in writing, and EOSC shall immediately withdraw such individual and, at ECTKC’s option, EOSC shall use its best efforts to furnish an individual who meets the qualifications required.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2.5</w:t>
        <w:tab/>
        <w:t>Any input necessary for EOSC to second appropriate personnel shall be submitted by ECTKC in a manner consistent with the request for the secondment of Employees by ECTKC.  Should ECTKC’s failure to supply such input render EOSC’s performance unreasonably difficult, EOSC may, upon reasonable notice, refuse to perform.</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2.6</w:t>
        <w:tab/>
        <w:t>ECTKC acknowledges that the Employees shall be provided only with respect to the business of ECTKC as currently operated or as mutually agreed by the parties hereto.  ECTKC will not request the secondment of any Employees for the benefit of any entity other than ECTKC, its subsidiaries or affiliates, and its clients.  ECTKC represents and agrees that it will use the Employees only in accordance with all applicable laws and regulations, and in accordance with the reasonable conditions, rules, regulations and specifications which may be set forth in any manuals, materials, documents or instructions in existence on the effective date of this Agreement as furnished by EOSC to ECTKC. EOSC reserves the right to take all actions, including termination of any particular secondment, that EOSC reasonably believes to be necessary to assure compliance with applicable laws, regulations and tariffs.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2.7</w:t>
        <w:tab/>
        <w:t xml:space="preserve">EOSC makes no warranties or representations whatsoever, express or implied, with respect to the Employees. In no event shall EOSC be liable to ECTKC or other person for any consequential damages resulting from any error in the performance by the Employees or from the breach of this Agreement. EOSC shall have no obligation to perform its duties hereunder if its failure to do so is caused by or results from any act of God, governmental action, natural disaster, strikes, failure of essential equipment or any other cause or circumstance beyond the control of EOSC.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2.9</w:t>
        <w:tab/>
        <w:t>At its election, EOSC may cause one or more of its subsidiaries (other than ECTKC), affiliates or third party contractors to provide the services called for by this Agreement; however, EOSC shall remain responsible for the administration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1"/>
        <w:ind w:hanging="0" w:start="0"/>
        <w:rPr/>
      </w:pPr>
      <w:r>
        <w:rPr/>
        <w:t>ARTICLE III.</w:t>
        <w:tab/>
        <w:tab/>
        <w:t>COMPENSATION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sz w:val="22"/>
        </w:rPr>
        <w:t xml:space="preserve">ECTKC or its Korea Branch shall be responsible for all costs and expenses related to any Seconded Employee during the period of secondment and will pay all salaries, benefits and other compensation directly to the Seconded Employees.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ARTICLE IV.</w:t>
        <w:tab/>
        <w:tab/>
        <w:t>CONFIDENTIALITY</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4.</w:t>
        <w:tab/>
        <w:t>EOSC agrees that: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(a)</w:t>
        <w:tab/>
        <w:t>all knowledge and information that EOSC may receive from ECTKC or employees or consultants of ECTKC, or by virtue of the performance of this Agreement, relating to inventions, products, processes, machinery, apparatus, prices, discounts, costs, business affairs, future plans or technical data that belong to ECTKC or to those with whom ECTKC has contracted regarding such information;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(b)</w:t>
        <w:tab/>
        <w:t>all information provided by ECTKC to EOSC or any information acquired or gained by EOSC or by EOSC supplied personnel, shall for all time and all purposes be regarded by EOSC as strictly confidential and held by EOSC in confidence and solely for ECTKC’s benefit and use, and shall not be used by EOSC or directly or indirectly disclosed by EOSC to any person whatsoever except to ECTKC or with ECTKC’s written permission.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ARTICLE V.</w:t>
        <w:tab/>
        <w:tab/>
        <w:t>EOSC REPRESENTATIONS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5.</w:t>
        <w:tab/>
        <w:t>EOSC represents and warrants that EOSC and its personnel have the right to perform this Agreement without violation of obligations to others, and that EOSC and its personnel have the right to disclose to ECTKC all information transmitted to ECTKC in the performance of this Agreement, and EOSC agrees that any information submitted to ECTKC, whether patentable or not, may be utilized fully and freely by ECTKC.</w:t>
      </w:r>
    </w:p>
    <w:p>
      <w:pPr>
        <w:pStyle w:val="Normal"/>
        <w:jc w:val="both"/>
        <w:rPr>
          <w:rFonts w:ascii="Times New Roman" w:hAnsi="Times New Roman" w:cs="Times New Roman"/>
          <w:sz w:val="22"/>
          <w:lang w:eastAsia="ko-KR"/>
        </w:rPr>
      </w:pPr>
      <w:r>
        <w:rPr>
          <w:rFonts w:cs="Times New Roman" w:ascii="Times New Roman" w:hAnsi="Times New Roman"/>
          <w:sz w:val="22"/>
          <w:lang w:eastAsia="ko-KR"/>
        </w:rPr>
      </w:r>
    </w:p>
    <w:p>
      <w:pPr>
        <w:pStyle w:val="Normal"/>
        <w:jc w:val="both"/>
        <w:rPr>
          <w:rFonts w:ascii="Times New Roman" w:hAnsi="Times New Roman" w:cs="Times New Roman"/>
          <w:sz w:val="22"/>
          <w:lang w:eastAsia="ko-KR"/>
        </w:rPr>
      </w:pPr>
      <w:r>
        <w:rPr>
          <w:rFonts w:cs="Times New Roman" w:ascii="Times New Roman" w:hAnsi="Times New Roman"/>
          <w:sz w:val="22"/>
          <w:lang w:eastAsia="ko-KR"/>
        </w:rPr>
      </w:r>
    </w:p>
    <w:p>
      <w:pPr>
        <w:pStyle w:val="Normal"/>
        <w:jc w:val="both"/>
        <w:rPr>
          <w:rFonts w:ascii="Times New Roman" w:hAnsi="Times New Roman" w:cs="Times New Roman"/>
          <w:b/>
          <w:sz w:val="22"/>
        </w:rPr>
      </w:pPr>
      <w:r>
        <w:rPr>
          <w:rFonts w:cs="Times New Roman" w:ascii="Times New Roman" w:hAnsi="Times New Roman"/>
          <w:b/>
          <w:sz w:val="22"/>
        </w:rPr>
        <w:t>ARTICLE VI.</w:t>
        <w:tab/>
        <w:tab/>
        <w:t>TERMINATION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6.1</w:t>
        <w:tab/>
        <w:t>This Agreement may be terminated pursuant to the following:</w:t>
      </w:r>
    </w:p>
    <w:p>
      <w:pPr>
        <w:pStyle w:val="Normal"/>
        <w:jc w:val="both"/>
        <w:rPr>
          <w:rFonts w:ascii="Times New Roman" w:hAnsi="Times New Roman" w:cs="Times New Roman"/>
          <w:sz w:val="22"/>
        </w:rPr>
      </w:pPr>
      <w:r>
        <w:rPr>
          <w:rFonts w:cs="Times New Roman" w:ascii="Times New Roman" w:hAnsi="Times New Roman"/>
          <w:sz w:val="22"/>
        </w:rPr>
        <w:tab/>
      </w:r>
    </w:p>
    <w:p>
      <w:pPr>
        <w:pStyle w:val="BodyText2"/>
        <w:rPr/>
      </w:pPr>
      <w:r>
        <w:rPr/>
        <w:tab/>
        <w:t>(a)</w:t>
        <w:tab/>
        <w:t>by either party, with or without cause at any time, upon ninety (90) days’ prior written notice; or</w:t>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pPr>
      <w:r>
        <w:rPr/>
        <w:tab/>
        <w:t>(b)</w:t>
        <w:tab/>
        <w:t>by ECTKC, at any time, upon thirty (30) days’ prior written notice, if there is a change in the control or management of EOSC that is unacceptable to ECTKC, or if EOSC ceases to function as ongoing concern, or to conduct its operations in the normal course of business.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6.2</w:t>
        <w:tab/>
        <w:t>The obligations of EOSC under Article V shall survive any expiration or termination of this Agreement. The obligations of ECTKC under Article III shall survive the termination of this Agreement. As long as there is any Foreign Employment Agreement in existence or obligations hereunder continuing, the obligations of ECTKC under Article III shall continue.</w:t>
      </w:r>
    </w:p>
    <w:p>
      <w:pPr>
        <w:pStyle w:val="Normal"/>
        <w:jc w:val="both"/>
        <w:rPr>
          <w:rFonts w:ascii="Times New Roman" w:hAnsi="Times New Roman" w:cs="Times New Roman"/>
          <w:sz w:val="22"/>
        </w:rPr>
      </w:pPr>
      <w:r>
        <w:rPr>
          <w:rFonts w:cs="Times New Roman" w:ascii="Times New Roman" w:hAnsi="Times New Roman"/>
          <w:sz w:val="22"/>
        </w:rPr>
      </w:r>
    </w:p>
    <w:p>
      <w:pPr>
        <w:pStyle w:val="BodyText"/>
        <w:rPr/>
      </w:pPr>
      <w:r>
        <w:rPr/>
        <w:t>6.3</w:t>
        <w:tab/>
        <w:t>Upon termination of this Agreement, EOSC will return to ECTKC all written information, drawings, models, and other materials or files supplied to EOSC or created by EOSC at the expense of ECTKC.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t>ARTICLE VII.</w:t>
        <w:tab/>
        <w:t>INDEMNIFICATION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7.</w:t>
        <w:tab/>
        <w:t>EOSC agrees to indemnify and hold ECTKC, its officers, agents, and employees harmless from and against any and all liabilities, damages, losses, actions, or causes of action, costs, and expenses (including attorney’s fees), whether relating to the property of ECTKC or of any third party, or to personal injury or death, arising out of or in any way contributed to by the acts or failure to act of EOSC, its agents, employees, officers, or EOSC-supplied personnel.</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ARTICLE VIII.</w:t>
        <w:tab/>
        <w:t>OTHER PROVISIONS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8.1</w:t>
        <w:tab/>
        <w:t>Independent Contractor.  The status of EOSC is that of an independent contractor and not of an Agent or employee of ECTKC and, as such, EOSC shall not have the right or power to enter into any contracts, agreements, or any other commitment on behalf of ECTKC.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8.2</w:t>
        <w:tab/>
        <w:t>Assignment.  Except as otherwise provided herein, the rights and obligations of EOSC under this Agreement are personal to EOSC and may not be assigned or transferred to any other person, firm, corporation, or other entity without the prior, express and written consent of ECTKC.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8.3</w:t>
        <w:tab/>
        <w:t>Entire Agreement.  This Agreement shall constitute the entire agreement between the parties and any prior understanding or representation of any kind preceding the date of this Agreement shall not be binding upon either party except to the extent incorporated in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8.4</w:t>
        <w:tab/>
        <w:t>Notices. Any notice, request, instruction, correspondence or other document to be given hereunder by either party to the other (herein collectively called “Notice”) shall be in writing and delivered personally or mailed, postage prepaid, or by telegram or telecopier,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If ECTKC:</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Enron Capital &amp; Trade Resources Korea Corp. </w:t>
      </w:r>
    </w:p>
    <w:p>
      <w:pPr>
        <w:pStyle w:val="Normal"/>
        <w:ind w:firstLine="720" w:end="0"/>
        <w:jc w:val="both"/>
        <w:rPr>
          <w:rFonts w:ascii="Times New Roman" w:hAnsi="Times New Roman" w:cs="Times New Roman"/>
          <w:sz w:val="22"/>
        </w:rPr>
      </w:pPr>
      <w:r>
        <w:rPr>
          <w:rFonts w:cs="Times New Roman" w:ascii="Times New Roman" w:hAnsi="Times New Roman"/>
          <w:sz w:val="22"/>
        </w:rPr>
        <w:t>1400 Smith Street</w:t>
      </w:r>
    </w:p>
    <w:p>
      <w:pPr>
        <w:pStyle w:val="Normal"/>
        <w:ind w:firstLine="720" w:end="0"/>
        <w:jc w:val="both"/>
        <w:rPr>
          <w:rFonts w:ascii="Times New Roman" w:hAnsi="Times New Roman" w:cs="Times New Roman"/>
          <w:sz w:val="22"/>
        </w:rPr>
      </w:pPr>
      <w:r>
        <w:rPr>
          <w:rFonts w:cs="Times New Roman" w:ascii="Times New Roman" w:hAnsi="Times New Roman"/>
          <w:sz w:val="22"/>
        </w:rPr>
        <w:t>Houston, Texas 77002</w:t>
      </w:r>
    </w:p>
    <w:p>
      <w:pPr>
        <w:pStyle w:val="Normal"/>
        <w:ind w:firstLine="720" w:end="0"/>
        <w:jc w:val="both"/>
        <w:rPr>
          <w:rFonts w:ascii="Times New Roman" w:hAnsi="Times New Roman" w:cs="Times New Roman"/>
          <w:b/>
          <w:sz w:val="22"/>
        </w:rPr>
      </w:pPr>
      <w:r>
        <w:rPr>
          <w:rFonts w:cs="Times New Roman" w:ascii="Times New Roman" w:hAnsi="Times New Roman"/>
          <w:sz w:val="22"/>
        </w:rPr>
        <w:t>United States of America</w:t>
      </w:r>
    </w:p>
    <w:p>
      <w:pPr>
        <w:pStyle w:val="Normal"/>
        <w:ind w:firstLine="720" w:end="0"/>
        <w:jc w:val="both"/>
        <w:rPr>
          <w:rFonts w:ascii="Times New Roman" w:hAnsi="Times New Roman" w:cs="Times New Roman"/>
          <w:sz w:val="22"/>
        </w:rPr>
      </w:pPr>
      <w:r>
        <w:rPr>
          <w:rFonts w:cs="Times New Roman" w:ascii="Times New Roman" w:hAnsi="Times New Roman"/>
          <w:sz w:val="22"/>
        </w:rPr>
        <w:t>Attn:</w:t>
        <w:tab/>
        <w:t xml:space="preserve"> Corporate Secretary</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If to EOSC:</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Overseas Services Corp.</w:t>
      </w:r>
    </w:p>
    <w:p>
      <w:pPr>
        <w:pStyle w:val="Normal"/>
        <w:ind w:firstLine="720" w:end="0"/>
        <w:jc w:val="both"/>
        <w:rPr>
          <w:rFonts w:ascii="Times New Roman" w:hAnsi="Times New Roman" w:cs="Times New Roman"/>
          <w:sz w:val="22"/>
        </w:rPr>
      </w:pPr>
      <w:r>
        <w:rPr>
          <w:rFonts w:cs="Times New Roman" w:ascii="Times New Roman" w:hAnsi="Times New Roman"/>
          <w:sz w:val="22"/>
        </w:rPr>
        <w:t>1400 Smith Street</w:t>
      </w:r>
    </w:p>
    <w:p>
      <w:pPr>
        <w:pStyle w:val="Normal"/>
        <w:ind w:firstLine="720" w:end="0"/>
        <w:jc w:val="both"/>
        <w:rPr>
          <w:rFonts w:ascii="Times New Roman" w:hAnsi="Times New Roman" w:cs="Times New Roman"/>
          <w:sz w:val="22"/>
        </w:rPr>
      </w:pPr>
      <w:r>
        <w:rPr>
          <w:rFonts w:cs="Times New Roman" w:ascii="Times New Roman" w:hAnsi="Times New Roman"/>
          <w:sz w:val="22"/>
        </w:rPr>
        <w:t>Houston, Texas 77002</w:t>
      </w:r>
    </w:p>
    <w:p>
      <w:pPr>
        <w:pStyle w:val="Normal"/>
        <w:ind w:firstLine="720" w:end="0"/>
        <w:jc w:val="both"/>
        <w:rPr>
          <w:rFonts w:ascii="Times New Roman" w:hAnsi="Times New Roman" w:cs="Times New Roman"/>
          <w:b/>
          <w:sz w:val="22"/>
        </w:rPr>
      </w:pPr>
      <w:r>
        <w:rPr>
          <w:rFonts w:cs="Times New Roman" w:ascii="Times New Roman" w:hAnsi="Times New Roman"/>
          <w:sz w:val="22"/>
        </w:rPr>
        <w:t>United States of America</w:t>
      </w:r>
    </w:p>
    <w:p>
      <w:pPr>
        <w:pStyle w:val="Normal"/>
        <w:ind w:firstLine="720" w:end="0"/>
        <w:jc w:val="both"/>
        <w:rPr>
          <w:rFonts w:ascii="Times New Roman" w:hAnsi="Times New Roman" w:cs="Times New Roman"/>
          <w:sz w:val="22"/>
        </w:rPr>
      </w:pPr>
      <w:r>
        <w:rPr>
          <w:rFonts w:cs="Times New Roman" w:ascii="Times New Roman" w:hAnsi="Times New Roman"/>
          <w:sz w:val="22"/>
        </w:rPr>
        <w:t>Attn:</w:t>
        <w:tab/>
        <w:t xml:space="preserve"> Corporate Secretary</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8.5</w:t>
        <w:tab/>
        <w:t>Governing Law.  It is agree that this Agreement shall be governed by, construed, and enforced in accordance with the laws of the State of Texas, United States of America.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8.6</w:t>
        <w:tab/>
        <w:t>Paragraph headings.  The titles to the paragraphs of this Agreement are solely for the convenience of the parties and shall not be used to explain, modify, simplify, or aid in the interpretation of the provisions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8.7</w:t>
        <w:tab/>
        <w:t>Modification of Agreement.</w:t>
        <w:tab/>
        <w:t>Any modification of this Agreement or additional obligation assumed by either party in connection with this Agreement shall be binding only if evidenced in writing signed by each party or an authorized representative of each party.</w:t>
      </w:r>
    </w:p>
    <w:p>
      <w:pPr>
        <w:pStyle w:val="Normal"/>
        <w:jc w:val="both"/>
        <w:rPr>
          <w:rFonts w:ascii="Times New Roman" w:hAnsi="Times New Roman" w:cs="Times New Roman"/>
          <w:sz w:val="22"/>
        </w:rPr>
      </w:pPr>
      <w:r>
        <w:rPr>
          <w:rFonts w:cs="Times New Roman" w:ascii="Times New Roman" w:hAnsi="Times New Roman"/>
          <w:sz w:val="22"/>
        </w:rPr>
      </w:r>
    </w:p>
    <w:p>
      <w:pPr>
        <w:pStyle w:val="BodyText"/>
        <w:rPr/>
      </w:pPr>
      <w:r>
        <w:rPr/>
        <w:t>8.8</w:t>
        <w:tab/>
        <w:t>No Waiver.  The failure of either party to this Agreement to insist upon the performance of any of the terms and conditions of this Agreement, or the waiver of any breach of any of the terms and conditions of this Agreement, shall not be construed as thereafter waiving any such terms and conditions, but the same shall continue and remain in full force and effect as if no such forbearance or waiver had occurred.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8.9</w:t>
        <w:tab/>
        <w:t>In the event any portion of this shall be found by a court or competent jurisdiction to be unenforceable, that portion of the Agreement still be null and void and the remainder of the Agreement will be binding on the parties as if the unenforceable provisions had never been contained herein.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b/>
          <w:sz w:val="22"/>
        </w:rPr>
        <w:t>IN WITNESS WHEREOF</w:t>
      </w:r>
      <w:r>
        <w:rPr>
          <w:rFonts w:cs="Times New Roman" w:ascii="Times New Roman" w:hAnsi="Times New Roman"/>
          <w:sz w:val="22"/>
        </w:rPr>
        <w:t>, the parties hereto have caused this Agreement to be signed on their behalf by their duly authorized officers.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start"/>
        <w:rPr>
          <w:rFonts w:ascii="Times New Roman" w:hAnsi="Times New Roman" w:cs="Times New Roman"/>
          <w:sz w:val="22"/>
        </w:rPr>
      </w:pPr>
      <w:r>
        <w:rPr>
          <w:rFonts w:cs="Times New Roman" w:ascii="Times New Roman" w:hAnsi="Times New Roman"/>
          <w:b/>
          <w:sz w:val="22"/>
        </w:rPr>
        <w:t>ENRON CAPITAL &amp; TRADE RESOURCES KOREA CORP.</w:t>
      </w:r>
    </w:p>
    <w:p>
      <w:pPr>
        <w:pStyle w:val="Normal"/>
        <w:jc w:val="start"/>
        <w:rPr>
          <w:rFonts w:ascii="Times New Roman" w:hAnsi="Times New Roman" w:cs="Times New Roman"/>
          <w:sz w:val="22"/>
        </w:rPr>
      </w:pPr>
      <w:r>
        <w:rPr>
          <w:rFonts w:cs="Times New Roman" w:ascii="Times New Roman" w:hAnsi="Times New Roman"/>
          <w:sz w:val="22"/>
        </w:rPr>
      </w:r>
    </w:p>
    <w:p>
      <w:pPr>
        <w:pStyle w:val="Normal"/>
        <w:jc w:val="start"/>
        <w:rPr>
          <w:rFonts w:ascii="Times New Roman" w:hAnsi="Times New Roman" w:cs="Times New Roman"/>
          <w:sz w:val="22"/>
        </w:rPr>
      </w:pPr>
      <w:r>
        <w:rPr>
          <w:rFonts w:cs="Times New Roman" w:ascii="Times New Roman" w:hAnsi="Times New Roman"/>
          <w:sz w:val="22"/>
        </w:rPr>
      </w:r>
    </w:p>
    <w:p>
      <w:pPr>
        <w:pStyle w:val="Normal"/>
        <w:jc w:val="start"/>
        <w:rPr/>
      </w:pPr>
      <w:r>
        <w:rPr>
          <w:rFonts w:cs="Times New Roman" w:ascii="Times New Roman" w:hAnsi="Times New Roman"/>
          <w:sz w:val="22"/>
        </w:rPr>
        <w:t>By:</w:t>
        <w:tab/>
      </w:r>
      <w:r>
        <w:rPr>
          <w:rFonts w:cs="Times New Roman" w:ascii="Times New Roman" w:hAnsi="Times New Roman"/>
          <w:sz w:val="22"/>
          <w:u w:val="single"/>
        </w:rPr>
        <w:tab/>
        <w:tab/>
        <w:tab/>
        <w:tab/>
        <w:tab/>
      </w:r>
      <w:r>
        <w:rPr>
          <w:rFonts w:cs="Times New Roman" w:ascii="Times New Roman" w:hAnsi="Times New Roman"/>
          <w:sz w:val="22"/>
        </w:rPr>
        <w:tab/>
      </w:r>
    </w:p>
    <w:p>
      <w:pPr>
        <w:pStyle w:val="Normal"/>
        <w:jc w:val="start"/>
        <w:rPr>
          <w:rFonts w:ascii="Times New Roman" w:hAnsi="Times New Roman" w:cs="Times New Roman"/>
          <w:sz w:val="22"/>
        </w:rPr>
      </w:pPr>
      <w:r>
        <w:rPr>
          <w:rFonts w:cs="Times New Roman" w:ascii="Times New Roman" w:hAnsi="Times New Roman"/>
          <w:sz w:val="22"/>
        </w:rPr>
        <w:t>Name:</w:t>
        <w:tab/>
      </w:r>
    </w:p>
    <w:p>
      <w:pPr>
        <w:pStyle w:val="Normal"/>
        <w:jc w:val="start"/>
        <w:rPr>
          <w:rFonts w:ascii="Times New Roman" w:hAnsi="Times New Roman" w:cs="Times New Roman"/>
          <w:sz w:val="22"/>
          <w:u w:val="single"/>
        </w:rPr>
      </w:pPr>
      <w:r>
        <w:rPr>
          <w:rFonts w:cs="Times New Roman" w:ascii="Times New Roman" w:hAnsi="Times New Roman"/>
          <w:sz w:val="22"/>
        </w:rPr>
        <w:t>Title:</w:t>
        <w:tab/>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start"/>
        <w:rPr>
          <w:rFonts w:ascii="Times New Roman" w:hAnsi="Times New Roman" w:cs="Times New Roman"/>
          <w:b/>
          <w:sz w:val="22"/>
        </w:rPr>
      </w:pPr>
      <w:r>
        <w:rPr>
          <w:rFonts w:cs="Times New Roman" w:ascii="Times New Roman" w:hAnsi="Times New Roman"/>
          <w:b/>
          <w:sz w:val="22"/>
        </w:rPr>
        <w:t>ENRON OVERSEAS SERVICES CORP.</w:t>
      </w:r>
    </w:p>
    <w:p>
      <w:pPr>
        <w:pStyle w:val="Normal"/>
        <w:jc w:val="start"/>
        <w:rPr>
          <w:rFonts w:ascii="Times New Roman" w:hAnsi="Times New Roman" w:cs="Times New Roman"/>
          <w:b/>
          <w:sz w:val="22"/>
        </w:rPr>
      </w:pPr>
      <w:r>
        <w:rPr>
          <w:rFonts w:cs="Times New Roman" w:ascii="Times New Roman" w:hAnsi="Times New Roman"/>
          <w:b/>
          <w:sz w:val="22"/>
        </w:rPr>
      </w:r>
    </w:p>
    <w:p>
      <w:pPr>
        <w:pStyle w:val="Normal"/>
        <w:jc w:val="start"/>
        <w:rPr>
          <w:rFonts w:ascii="Times New Roman" w:hAnsi="Times New Roman" w:cs="Times New Roman"/>
          <w:sz w:val="22"/>
        </w:rPr>
      </w:pPr>
      <w:r>
        <w:rPr>
          <w:rFonts w:cs="Times New Roman" w:ascii="Times New Roman" w:hAnsi="Times New Roman"/>
          <w:sz w:val="22"/>
        </w:rPr>
      </w:r>
    </w:p>
    <w:p>
      <w:pPr>
        <w:pStyle w:val="Normal"/>
        <w:jc w:val="start"/>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jc w:val="start"/>
        <w:rPr>
          <w:rFonts w:ascii="Times New Roman" w:hAnsi="Times New Roman" w:cs="Times New Roman"/>
          <w:sz w:val="22"/>
        </w:rPr>
      </w:pPr>
      <w:r>
        <w:rPr>
          <w:rFonts w:cs="Times New Roman" w:ascii="Times New Roman" w:hAnsi="Times New Roman"/>
          <w:sz w:val="22"/>
        </w:rPr>
        <w:t>Name:</w:t>
      </w:r>
    </w:p>
    <w:p>
      <w:pPr>
        <w:pStyle w:val="Normal"/>
        <w:jc w:val="start"/>
        <w:rPr>
          <w:rFonts w:ascii="Times New Roman" w:hAnsi="Times New Roman" w:cs="Times New Roman"/>
          <w:sz w:val="22"/>
        </w:rPr>
      </w:pPr>
      <w:r>
        <w:rPr>
          <w:rFonts w:cs="Times New Roman" w:ascii="Times New Roman" w:hAnsi="Times New Roman"/>
          <w:sz w:val="22"/>
        </w:rPr>
        <w:t>Title:</w:t>
        <w:tab/>
      </w:r>
    </w:p>
    <w:p>
      <w:pPr>
        <w:pStyle w:val="Normal"/>
        <w:jc w:val="both"/>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980" w:right="1440" w:gutter="0" w:header="0" w:top="1440" w:footer="982" w:bottom="103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p>
    <w:pPr>
      <w:pStyle w:val="Footer"/>
      <w:jc w:val="start"/>
      <w:rPr>
        <w:rFonts w:ascii="Times New Roman" w:hAnsi="Times New Roman" w:cs="Times New Roman"/>
        <w:sz w:val="16"/>
      </w:rPr>
    </w:pPr>
    <w:r>
      <w:rPr>
        <w:rFonts w:cs="Times New Roman" w:ascii="Times New Roman" w:hAnsi="Times New Roman"/>
        <w:sz w:val="16"/>
      </w:rPr>
    </w:r>
  </w:p>
  <w:p>
    <w:pPr>
      <w:pStyle w:val="Footer"/>
      <w:jc w:val="start"/>
      <w:rPr>
        <w:rFonts w:ascii="Times New Roman" w:hAnsi="Times New Roman" w:cs="Times New Roman"/>
        <w:sz w:val="16"/>
      </w:rPr>
    </w:pPr>
    <w:r>
      <w:rPr>
        <w:rFonts w:cs="Times New Roman" w:ascii="Times New Roman" w:hAnsi="Times New Roman"/>
        <w:sz w:val="16"/>
      </w:rPr>
      <w:t>S:\Legal\ect korea secondment agt (Execution)</w:t>
    </w:r>
  </w:p>
  <w:p>
    <w:pPr>
      <w:pStyle w:val="Footer"/>
      <w:jc w:val="start"/>
      <w:rPr>
        <w:rFonts w:ascii="Times New Roman" w:hAnsi="Times New Roman" w:cs="Times New Roman"/>
        <w:sz w:val="16"/>
      </w:rPr>
    </w:pPr>
    <w:r>
      <w:rPr>
        <w:rFonts w:cs="Times New Roman" w:ascii="Times New Roman" w:hAnsi="Times New Roman"/>
        <w:sz w:val="16"/>
      </w:rPr>
    </w:r>
  </w:p>
  <w:p>
    <w:pPr>
      <w:pStyle w:val="Footer"/>
      <w:jc w:val="start"/>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Fonts w:ascii="Times New Roman" w:hAnsi="Times New Roman" w:cs="Times New Roman"/>
        <w:sz w:val="16"/>
      </w:rPr>
    </w:pPr>
    <w:r>
      <w:rPr>
        <w:rFonts w:cs="Times New Roman" w:ascii="Times New Roman" w:hAnsi="Times New Roman"/>
        <w:sz w:val="16"/>
      </w:rPr>
      <w:t>S:\Legal\ect korea secondment agt (Execution)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center"/>
    </w:pPr>
    <w:rPr>
      <w:rFonts w:ascii="Arial" w:hAnsi="Arial" w:eastAsia="바탕체" w:cs="Arial"/>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Times New Roman" w:hAnsi="Times New Roman" w:cs="Times New Roman"/>
      <w:b/>
      <w:sz w:val="22"/>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09" w:leader="none"/>
      </w:tabs>
      <w:ind w:hanging="1440" w:start="1440" w:end="0"/>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2000-05-03T06:52:00Z</dcterms:created>
  <dc:creator>Enron</dc:creator>
  <dc:description/>
  <dc:language>en-CA</dc:language>
  <cp:lastModifiedBy>apoon</cp:lastModifiedBy>
  <cp:lastPrinted>2000-05-03T17:39:00Z</cp:lastPrinted>
  <dcterms:modified xsi:type="dcterms:W3CDTF">2000-05-03T07:09:00Z</dcterms:modified>
  <cp:revision>4</cp:revision>
  <dc:subject/>
  <dc:title>SERVICE AGREEMENT BETWEEN</dc:title>
</cp:coreProperties>
</file>