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draft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Vijay,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I apologize for the delay in getting back to you. I've been traveling again.  I hope your other discussions went well.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Below are a few comments that i believe you addressed and wanted some additional feedback from our coal activities and changes in the coal industry.  I wanted to get this out to you quickly so please forgive this lack of formality or creativity.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Enron's online activity has been very successful especially as compared with  our early estimations of acceptance by the industry.  I believe that there is only one other active coal trading system (Dynegy direct) that simply isn't posting prices as a bulletin board and waiting for a response with telephone follow-up.  I also believe that we have done all or almost all the transactions on  Dynegy direct to date.  We do a lot of our business online and the numbers YTD are that we are at approx. 45% of our trades are done online.  That number has been higher, as much as 90% for certain months or when we are trying something new or moving a particular product.  As Bid/Ask spreads tighten, which we would expect, that bodes well for EOL and our ability to transact even more quickly.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We discussed changes that we believe are coming in the industry, we see several things on the horizon.  We expect the acceptance of the online transactions to increase; especially with the volatile price movements what we have seen in the last 6 months.  We are currently developing 4 new products for EOL that I believe will become very popular and will create a new market in these coals and related sectors.  I don't want to discuss them right now but they are close to releasing them and will raise some eyebrows.    The development of the Global Coal exchange will also help.  I frankly don’t believe it will be very successful because of several things but primarily because of the difficulty in closing the transaction. One thing has been very firmly demonstrated.  Everytime a new big system has been introduced EOL volumes go up.  It simply accelerates the acceptance of online business and it gets down to the best prices and liquidity to see who will ultimately win the day.  Another big change in the industry is the growing acceptance in the OTC market.  The significant price changes that have occurred have "forced" many traditional players to the OTC market.  This also included forcing them to agree to standard OTC terms and conditions and getting them comfortable with the market.  This is very good for Enron especially when you consider that we are the major player on the OTC market.  We don't release specific percentages of what we are doing on the OTC.  Also having more natural and tradional players signing these types of standard agreements helps us on the EOL side because of our standard contracts which is important for developing a more liquid market.</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A couple of numbers that we are willing to release.  Year to date, we have traded approx. 30 million tons in the forward market.  On the physical side of our transactions, about 25% go physical vs. financial.  Last year Enron was the largest US market maker with 142 million tons.  Internationally we moved approx. 47 million tons and overall the total was slightly less than 190 million tons.  Our expectations this year is up approx 65% and we are on track with that.  This doesn’t include any of our shipping business.</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I hope this helps and please let me know if you have any other questions.</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Mike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rFonts w:ascii="Helv;Arial" w:hAnsi="Helv;Arial" w:cs="Helv;Arial"/>
      <w:b/>
      <w:bCs/>
      <w:color w:val="000000"/>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2001-05-31T10:42:00Z</dcterms:created>
  <dc:creator>Mike McConnell</dc:creator>
  <dc:description/>
  <dc:language>en-CA</dc:language>
  <cp:lastModifiedBy>Mike McConnell</cp:lastModifiedBy>
  <dcterms:modified xsi:type="dcterms:W3CDTF">2001-05-31T12:32:00Z</dcterms:modified>
  <cp:revision>5</cp:revision>
  <dc:subject/>
  <dc:title>Vijay,</dc:title>
</cp:coreProperties>
</file>