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UNITED STATES OF AMERICA94 FERC ¶ 62,225</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Enron North America Corp.,</w:t>
      </w:r>
    </w:p>
    <w:p>
      <w:pPr>
        <w:pStyle w:val="Normal"/>
        <w:widowControl/>
        <w:rPr>
          <w:sz w:val="26"/>
        </w:rPr>
      </w:pPr>
      <w:r>
        <w:rPr>
          <w:sz w:val="26"/>
        </w:rPr>
        <w:t>Brownsville Power I, L.L.C.,</w:t>
      </w:r>
    </w:p>
    <w:p>
      <w:pPr>
        <w:pStyle w:val="Normal"/>
        <w:widowControl/>
        <w:tabs>
          <w:tab w:val="clear" w:pos="720"/>
          <w:tab w:val="right" w:pos="9360" w:leader="none"/>
        </w:tabs>
        <w:rPr>
          <w:sz w:val="26"/>
        </w:rPr>
      </w:pPr>
      <w:r>
        <w:rPr>
          <w:sz w:val="26"/>
        </w:rPr>
        <w:t>Caledonia Power I, L.L.C.,</w:t>
        <w:tab/>
        <w:t>Docket No. EC01-53-000</w:t>
      </w:r>
    </w:p>
    <w:p>
      <w:pPr>
        <w:pStyle w:val="Normal"/>
        <w:widowControl/>
        <w:rPr>
          <w:sz w:val="26"/>
        </w:rPr>
      </w:pPr>
      <w:r>
        <w:rPr>
          <w:sz w:val="26"/>
        </w:rPr>
        <w:t xml:space="preserve">  </w:t>
      </w:r>
      <w:r>
        <w:rPr>
          <w:sz w:val="26"/>
        </w:rPr>
        <w:t>and Cinergy Capital &amp; Trading, Inc.</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ORDER AUTHORIZING DISPOSITION</w:t>
      </w:r>
    </w:p>
    <w:p>
      <w:pPr>
        <w:pStyle w:val="Normal"/>
        <w:widowControl/>
        <w:tabs>
          <w:tab w:val="clear" w:pos="720"/>
          <w:tab w:val="center" w:pos="4680" w:leader="none"/>
        </w:tabs>
        <w:rPr>
          <w:sz w:val="26"/>
        </w:rPr>
      </w:pPr>
      <w:r>
        <w:rPr>
          <w:sz w:val="26"/>
        </w:rPr>
        <w:tab/>
        <w:t>OF JURISDICTIONAL FACILITIES</w:t>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March 16, 2001)</w:t>
      </w:r>
    </w:p>
    <w:p>
      <w:pPr>
        <w:pStyle w:val="Normal"/>
        <w:widowControl/>
        <w:rPr>
          <w:sz w:val="26"/>
        </w:rPr>
      </w:pPr>
      <w:r>
        <w:rPr>
          <w:sz w:val="26"/>
        </w:rPr>
      </w:r>
    </w:p>
    <w:p>
      <w:pPr>
        <w:pStyle w:val="Normal"/>
        <w:widowControl/>
        <w:ind w:firstLine="720" w:end="0"/>
        <w:rPr/>
      </w:pPr>
      <w:r>
        <w:rPr>
          <w:sz w:val="26"/>
        </w:rPr>
        <w:t xml:space="preserve">On January 10, 2001, as supplemented on March 16, 2001, Enron North America Corp. (ENA), Brownsville Power I, L.L.C. (Brownsville), Caledonia Power I, L.L.C. (Caledonia) and Cinergy Capital &amp; Trading, Inc. (CCT) (collectively, Applicants) filed a joint application pursuant to section 203 of the Federal Power Act </w:t>
      </w:r>
      <w:r>
        <w:rPr>
          <w:rStyle w:val="FootnoteCharacters"/>
          <w:rStyle w:val="FootnoteReference"/>
          <w:b/>
          <w:sz w:val="31"/>
          <w:vertAlign w:val="superscript"/>
        </w:rPr>
        <w:footnoteReference w:id="2"/>
      </w:r>
      <w:r>
        <w:rPr>
          <w:sz w:val="26"/>
        </w:rPr>
        <w:t xml:space="preserve"> (FPA) requesting Commission authorization for ENA to sell, and for CCT to purchase, 100 percent ownership interests in Brownsville and Caledonia.</w:t>
      </w:r>
    </w:p>
    <w:p>
      <w:pPr>
        <w:pStyle w:val="Normal"/>
        <w:widowControl/>
        <w:rPr>
          <w:sz w:val="26"/>
        </w:rPr>
      </w:pPr>
      <w:r>
        <w:rPr>
          <w:sz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rPr>
        <w:t xml:space="preserve">ENA is a wholly-owned subsidiary of Enron Corp., an exempt public utility holding company under the Public Utility Holding Company Act of 1935 (PUHCA).  Brownsville and Caledonia are both public utility, limited liability companies and wholly-owned subsidiaries of ENA.  Brownsville owns and operates a 480 MW gas-fired generating facility in Tennessee that is interconnected with the Tennessee Valley Authority (TVA)  transmission system.  Caledonia owns and operates a 470 MW gas-fired generating facility in Mississippi that is also interconnected with the TVA transmission system.  Both Brownsville and Caledonia are authorized by the Commission to sell wholesale power at market-based rates, </w:t>
      </w:r>
      <w:r>
        <w:rPr>
          <w:rStyle w:val="FootnoteCharacters"/>
          <w:rStyle w:val="FootnoteReference"/>
          <w:b/>
          <w:sz w:val="31"/>
          <w:vertAlign w:val="superscript"/>
        </w:rPr>
        <w:footnoteReference w:id="3"/>
      </w:r>
      <w:r>
        <w:rPr>
          <w:sz w:val="26"/>
        </w:rPr>
        <w:t xml:space="preserve"> and both have received Commission determinations that they qualify as exempt wholesale generators under PUHCA. </w:t>
      </w:r>
      <w:r>
        <w:rPr>
          <w:rStyle w:val="FootnoteCharacters"/>
          <w:rStyle w:val="FootnoteReference"/>
          <w:b/>
          <w:sz w:val="31"/>
          <w:vertAlign w:val="superscript"/>
        </w:rPr>
        <w:footnoteReference w:id="4"/>
      </w:r>
      <w:r>
        <w:rPr>
          <w:sz w:val="26"/>
        </w:rPr>
        <w:t xml:space="preserve">  Another ENA wholly-owned subsidiary is Portland General Electric Company, a public utility.</w:t>
      </w:r>
    </w:p>
    <w:p>
      <w:pPr>
        <w:pStyle w:val="Normal"/>
        <w:widowControl/>
        <w:rPr>
          <w:sz w:val="26"/>
        </w:rPr>
      </w:pPr>
      <w:r>
        <w:rPr>
          <w:sz w:val="26"/>
        </w:rPr>
      </w:r>
    </w:p>
    <w:p>
      <w:pPr>
        <w:pStyle w:val="Normal"/>
        <w:widowControl/>
        <w:ind w:firstLine="720" w:end="0"/>
        <w:rPr/>
      </w:pPr>
      <w:r>
        <w:rPr>
          <w:sz w:val="26"/>
        </w:rPr>
        <w:t xml:space="preserve">CCT, an indirect wholly-owned subsidiary of Cinergy Corp. (Cinergy), trades and markets wholesale electricity and natural gas, and engages in other energy-related activities.  CCT has received Commission authorization to sell wholesale power at market-based rates. </w:t>
      </w:r>
      <w:r>
        <w:rPr>
          <w:rStyle w:val="FootnoteCharacters"/>
          <w:rStyle w:val="FootnoteReference"/>
          <w:b/>
          <w:sz w:val="31"/>
          <w:vertAlign w:val="superscript"/>
        </w:rPr>
        <w:footnoteReference w:id="5"/>
      </w:r>
      <w:r>
        <w:rPr>
          <w:sz w:val="26"/>
        </w:rPr>
        <w:t xml:space="preserve">   Cinergy wholly owns Cincinnati Gas &amp; Electric Company (CG&amp;E), a combination electric and gas utility, and PSI Energy, Inc. (PSI), both of which are public utilities under the FPA.  Cinergy Services, Inc., another wholly-owned subsidiary of Cinergy, operates the transmission systems of PSI, CG&amp;E, and CG&amp;E's public utility subsidiaries on an integrated, single-system basis pursuant to an open access transmission tariff (OATT) on file with the Commission.</w:t>
      </w:r>
    </w:p>
    <w:p>
      <w:pPr>
        <w:pStyle w:val="Normal"/>
        <w:widowControl/>
        <w:rPr>
          <w:sz w:val="26"/>
        </w:rPr>
      </w:pPr>
      <w:r>
        <w:rPr>
          <w:sz w:val="26"/>
        </w:rPr>
      </w:r>
    </w:p>
    <w:p>
      <w:pPr>
        <w:pStyle w:val="Normal"/>
        <w:widowControl/>
        <w:ind w:firstLine="720" w:end="0"/>
        <w:rPr>
          <w:sz w:val="26"/>
        </w:rPr>
      </w:pPr>
      <w:r>
        <w:rPr>
          <w:sz w:val="26"/>
        </w:rPr>
        <w:t xml:space="preserve">Under the proposed transaction, ENA will sell its 100 percent share of limited liability membership interests in Brownsville and Caledonia to CCT.  This sale will be made pursuant to the December 11, 2000, Purchase and Sale Agreement between ENA and CCT.  Brownsville and Caledonia will continue to exist after the transaction, but ownership and control over the companies will be transferred to CCT, making Brownsville and Caledonia wholly-owned subsidiaries of CCT.  The transaction will result in a change in control over Brownsville's and Caledonia's jurisdictional facilities, including their respective market-based rate tariffs, wholesale power contracts, related books and records, and physical interconnection facilities.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Applicants state that the transaction is consistent with the public interest, and will not adversely affect competition, rates or regulation.  With regard to the transaction's effect on competition, Applicants perform both Hub-and-Spoke and Delivered Price Test Analyses to examine the horizontal competitive effects of the transaction, using several different measures of capacity.  Applicants claim that their analyses do not identify any instances where the Commission's competitive screen thresholds are exceeded in any relevant market.  Applicants claim that the transaction will not adversely affect competition because:  (1) the Brownsville and Caledonia generating facilities are small relative to the size of the market; (2) these facilities are remotely located one to two states away from Cinergy's generation in Ohio and Indiana; and (3) the ability of power from Cinergy's generators to reach the Brownsville and Caledonia markets is restricted since that power would have to flow through transmission interfaces with only limited available capacity.  With regard to vertical competitive concerns, Applicants state that because Cinergy has an OATT on file with the Commission and is also a member of the Midwest Independent System Operator, Inc., Cinergy does not have the ability to use its transmission system to impede competition. </w:t>
      </w:r>
    </w:p>
    <w:p>
      <w:pPr>
        <w:pStyle w:val="Normal"/>
        <w:widowControl/>
        <w:rPr>
          <w:sz w:val="26"/>
        </w:rPr>
      </w:pPr>
      <w:r>
        <w:rPr>
          <w:sz w:val="26"/>
        </w:rPr>
      </w:r>
    </w:p>
    <w:p>
      <w:pPr>
        <w:pStyle w:val="Normal"/>
        <w:widowControl/>
        <w:ind w:firstLine="720" w:end="0"/>
        <w:rPr>
          <w:sz w:val="26"/>
        </w:rPr>
      </w:pPr>
      <w:r>
        <w:rPr>
          <w:sz w:val="26"/>
        </w:rPr>
        <w:t>With respect to rates, Applicants contend that the proposed transaction will not adversely affect rates, as all of Brownsville's and Caledonia's power sales are made at negotiated rates pursuant to their market-based rate tariffs on file with the Commission.   Applicants also state that the transaction will have no effect on existing power contracts.</w:t>
      </w:r>
    </w:p>
    <w:p>
      <w:pPr>
        <w:pStyle w:val="Normal"/>
        <w:widowControl/>
        <w:rPr>
          <w:sz w:val="26"/>
        </w:rPr>
      </w:pPr>
      <w:r>
        <w:rPr>
          <w:sz w:val="26"/>
        </w:rPr>
      </w:r>
    </w:p>
    <w:p>
      <w:pPr>
        <w:pStyle w:val="Normal"/>
        <w:widowControl/>
        <w:ind w:firstLine="720" w:end="0"/>
        <w:rPr>
          <w:sz w:val="26"/>
        </w:rPr>
      </w:pPr>
      <w:r>
        <w:rPr>
          <w:sz w:val="26"/>
        </w:rPr>
        <w:t>With respect to regulation, Applicants state that the proposed transaction will not adversely affect Commission regulation because it will not result in the formation of a registered holding company under PUHCA, and because both Brownsville and Caledonia will remain public utilities subject to Commission regulation after the transaction.  Applicants also commit to abide by the Commission's policies with respect to the treatment of costs and revenues related to intra-corporate transactions.  Applicants also claim that state regulation will not be impaired because all sales of power from the affected generating units will be entirely at wholesale and therefore exclusively subject to Commission, not state, regulation.</w:t>
      </w:r>
    </w:p>
    <w:p>
      <w:pPr>
        <w:pStyle w:val="Normal"/>
        <w:widowControl/>
        <w:rPr>
          <w:sz w:val="26"/>
        </w:rPr>
      </w:pPr>
      <w:r>
        <w:rPr>
          <w:sz w:val="26"/>
        </w:rPr>
      </w:r>
    </w:p>
    <w:p>
      <w:pPr>
        <w:pStyle w:val="Normal"/>
        <w:widowControl/>
        <w:ind w:firstLine="720" w:end="0"/>
        <w:rPr>
          <w:sz w:val="26"/>
        </w:rPr>
      </w:pPr>
      <w:r>
        <w:rPr>
          <w:sz w:val="26"/>
        </w:rPr>
        <w:t xml:space="preserve">Notice of the application was published in the Federal Register, with motions to intervene or protests due on or before January 31, 2001.  None were received. </w:t>
      </w:r>
    </w:p>
    <w:p>
      <w:pPr>
        <w:pStyle w:val="Normal"/>
        <w:widowControl/>
        <w:rPr>
          <w:sz w:val="26"/>
        </w:rPr>
      </w:pPr>
      <w:r>
        <w:rPr>
          <w:sz w:val="26"/>
        </w:rPr>
      </w:r>
    </w:p>
    <w:p>
      <w:pPr>
        <w:pStyle w:val="Normal"/>
        <w:widowControl/>
        <w:ind w:firstLine="720" w:end="0"/>
        <w:rPr>
          <w:sz w:val="26"/>
        </w:rPr>
      </w:pPr>
      <w:r>
        <w:rPr>
          <w:sz w:val="26"/>
        </w:rPr>
        <w:t>After consideration, it is concluded that the proposed transaction is consistent with the public interest and is authorized, subject to the following conditions:</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(1)</w:t>
        <w:tab/>
        <w:t>The proposed transaction is authorized upon the terms and conditions and for the purposes set forth in the application;</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1440" w:end="0"/>
        <w:rPr>
          <w:sz w:val="26"/>
        </w:rPr>
      </w:pPr>
      <w:r>
        <w:rPr>
          <w:sz w:val="26"/>
        </w:rPr>
        <w:t>(2)</w:t>
        <w:tab/>
        <w:t>The foregoing authorization is without prejudice to the authority of the         Commission or any other regulatory body with respect to rates, service,         accounts, valuation, estimates, or determinations of cost, or any other matter whatsoever now pending or which may come before the Commission;</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(3)</w:t>
        <w:tab/>
        <w:t>Nothing in this order shall be construed to imply acquiescence in any estimate or determination of cost or any valuation of property claimed or    asserted;</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(4)</w:t>
        <w:tab/>
        <w:t>The Commission retains authority under sections 203(b) and 309 of the FPA to issue supplemental orders as appropriate; and</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(5)</w:t>
        <w:tab/>
        <w:t>Applicants shall promptly notify the Commission of the date the disposition of jurisdictional facilities is consummated.</w:t>
      </w:r>
    </w:p>
    <w:p>
      <w:pPr>
        <w:pStyle w:val="Normal"/>
        <w:widowControl/>
        <w:rPr>
          <w:sz w:val="26"/>
        </w:rPr>
      </w:pPr>
      <w:r>
        <w:rPr>
          <w:sz w:val="26"/>
        </w:rPr>
      </w:r>
    </w:p>
    <w:p>
      <w:pPr>
        <w:pStyle w:val="Normal"/>
        <w:widowControl/>
        <w:ind w:firstLine="720" w:end="0"/>
        <w:rPr>
          <w:sz w:val="26"/>
        </w:rPr>
      </w:pPr>
      <w:r>
        <w:rPr>
          <w:sz w:val="26"/>
        </w:rPr>
        <w:t>Authority to act on this matter is delegated to the Director, Division of Corporate Applications, pursuant to 18 C.F.R. § 375.307.  This order constitutes final agency action.  Requests for rehearing by the Commission may be filed within thirty (30) days of the date of the issuance of this order, pursuant to 18 C.F.R. § 385.713.</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3600" w:end="0"/>
        <w:rPr>
          <w:sz w:val="26"/>
        </w:rPr>
      </w:pPr>
      <w:r>
        <w:rPr>
          <w:sz w:val="26"/>
        </w:rPr>
        <w:t>Michael C. McLaughlin, Director</w:t>
      </w:r>
    </w:p>
    <w:p>
      <w:pPr>
        <w:pStyle w:val="Normal"/>
        <w:widowControl/>
        <w:ind w:firstLine="3600" w:end="0"/>
        <w:rPr>
          <w:sz w:val="26"/>
        </w:rPr>
      </w:pPr>
      <w:r>
        <w:rPr>
          <w:sz w:val="26"/>
        </w:rPr>
        <w:t>Division of Corporate Applications</w:t>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  </w:t>
      </w:r>
      <w:r>
        <w:rPr>
          <w:sz w:val="26"/>
        </w:rPr>
        <w:t>16 U.S.C. § 824(b) (1994).</w:t>
      </w:r>
    </w:p>
  </w:footnote>
  <w:footnote w:id="3">
    <w:p>
      <w:pPr>
        <w:pStyle w:val="Normal"/>
        <w:spacing w:before="0" w:after="240"/>
        <w:ind w:firstLine="720" w:end="0"/>
        <w:rPr/>
      </w:pPr>
      <w:r>
        <w:rPr>
          <w:rStyle w:val="FootnoteCharacters"/>
        </w:rPr>
        <w:footnoteRef/>
      </w:r>
      <w:r>
        <w:rPr>
          <w:sz w:val="26"/>
          <w:u w:val="single"/>
        </w:rPr>
        <w:t>See</w:t>
      </w:r>
      <w:r>
        <w:rPr>
          <w:sz w:val="26"/>
        </w:rPr>
        <w:t xml:space="preserve"> SCC-L1, L.L.C, 87 FERC ¶ 61,071 (1999) (authorizing SCC-L1 and SCC L-2 to sell wholesale power at market-based rates).  SCC-L1 and SCC L-2 subsequently changed their names to Brownsville and Caledonia, respectively.  By unpublished letter order issued February 15, 2001 in Docket Nos. ER01-978-000 and ER01-979-000, Brownsville and Caledonia received Commission authorization under section 205 of the FPA to amend their market-based rate tariffs and codes of conduct to reflect their pending affiliation with Cinergy Corp.</w:t>
      </w:r>
    </w:p>
  </w:footnote>
  <w:footnote w:id="4">
    <w:p>
      <w:pPr>
        <w:pStyle w:val="Normal"/>
        <w:spacing w:before="0" w:after="240"/>
        <w:ind w:firstLine="720" w:end="0"/>
        <w:rPr/>
      </w:pPr>
      <w:r>
        <w:rPr>
          <w:rStyle w:val="FootnoteCharacters"/>
        </w:rPr>
        <w:footnoteRef/>
      </w:r>
      <w:r>
        <w:rPr>
          <w:sz w:val="26"/>
          <w:u w:val="single"/>
        </w:rPr>
        <w:t>See</w:t>
      </w:r>
      <w:r>
        <w:rPr>
          <w:sz w:val="26"/>
        </w:rPr>
        <w:t xml:space="preserve"> Brownsville Power I, L.L.C., 87 FERC ¶ 62,081 (1999); and Caledonia Power I, L.L.C., 87 FERC ¶ 62,067 (1999).</w:t>
      </w:r>
    </w:p>
  </w:footnote>
  <w:footnote w:id="5">
    <w:p>
      <w:pPr>
        <w:pStyle w:val="Normal"/>
        <w:spacing w:before="0" w:after="240"/>
        <w:ind w:firstLine="720" w:end="0"/>
        <w:rPr/>
      </w:pPr>
      <w:r>
        <w:rPr>
          <w:rStyle w:val="FootnoteCharacters"/>
        </w:rPr>
        <w:footnoteRef/>
      </w:r>
      <w:r>
        <w:rPr>
          <w:sz w:val="26"/>
          <w:u w:val="single"/>
        </w:rPr>
        <w:t>See</w:t>
      </w:r>
      <w:r>
        <w:rPr>
          <w:sz w:val="26"/>
        </w:rPr>
        <w:t xml:space="preserve"> Wholesale Power Services, Inc., 72 FERC ¶ 61,284 (1995); </w:t>
      </w:r>
      <w:r>
        <w:rPr>
          <w:sz w:val="26"/>
          <w:u w:val="single"/>
        </w:rPr>
        <w:t>see also</w:t>
      </w:r>
      <w:r>
        <w:rPr>
          <w:sz w:val="26"/>
        </w:rPr>
        <w:t xml:space="preserve"> unpublished letter order dated April 9, 1997 in Docket No. ER97-1957-000 (accepting notice of name change from Wholesale Power Services, Inc. (WPS) to CCT, and CCT's adoption of WPS' market-based rate tariff).</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2001-03-19T21:35:00Z</dcterms:created>
  <dc:creator>E51026</dc:creator>
  <dc:description/>
  <dc:language>en-CA</dc:language>
  <cp:lastModifiedBy>E51026</cp:lastModifiedBy>
  <dcterms:modified xsi:type="dcterms:W3CDTF">2001-03-19T21:35:00Z</dcterms:modified>
  <cp:revision>2</cp:revision>
  <dc:subject/>
  <dc:title/>
</cp:coreProperties>
</file>