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widowControl/>
              <w:ind w:start="-180" w:end="0"/>
              <w:jc w:val="end"/>
              <w:rPr>
                <w:sz w:val="16"/>
              </w:rPr>
            </w:pPr>
            <w:r>
              <w:rPr>
                <w:sz w:val="16"/>
              </w:rPr>
              <w:t>To:</w:t>
            </w:r>
          </w:p>
        </w:tc>
        <w:tc>
          <w:tcPr>
            <w:tcW w:w="6045" w:type="dxa"/>
            <w:tcBorders/>
          </w:tcPr>
          <w:p>
            <w:pPr>
              <w:pStyle w:val="To"/>
              <w:widowControl/>
              <w:rPr/>
            </w:pPr>
            <w:bookmarkStart w:id="0" w:name="to"/>
            <w:bookmarkEnd w:id="0"/>
            <w:r>
              <w:rPr/>
              <w:t>Stan Horton, Dan McCarty</w:t>
            </w:r>
          </w:p>
        </w:tc>
        <w:tc>
          <w:tcPr>
            <w:tcW w:w="990" w:type="dxa"/>
            <w:tcBorders/>
          </w:tcPr>
          <w:p>
            <w:pPr>
              <w:pStyle w:val="Normal"/>
              <w:widowControl/>
              <w:snapToGrid w:val="false"/>
              <w:ind w:start="-180" w:end="0"/>
              <w:rPr/>
            </w:pPr>
            <w:r>
              <w:rPr/>
            </w:r>
          </w:p>
        </w:tc>
        <w:tc>
          <w:tcPr>
            <w:tcW w:w="2965" w:type="dxa"/>
            <w:tcBorders/>
          </w:tcPr>
          <w:p>
            <w:pPr>
              <w:pStyle w:val="Normal"/>
              <w:widowControl/>
              <w:snapToGrid w:val="false"/>
              <w:rPr/>
            </w:pPr>
            <w:r>
              <w:rPr/>
            </w:r>
          </w:p>
        </w:tc>
      </w:tr>
      <w:tr>
        <w:trPr>
          <w:trHeight w:val="216" w:hRule="exact"/>
        </w:trPr>
        <w:tc>
          <w:tcPr>
            <w:tcW w:w="708" w:type="dxa"/>
            <w:tcBorders/>
          </w:tcPr>
          <w:p>
            <w:pPr>
              <w:pStyle w:val="Normal"/>
              <w:widowControl/>
              <w:snapToGrid w:val="false"/>
              <w:ind w:start="-180" w:end="0"/>
              <w:jc w:val="end"/>
              <w:rPr>
                <w:sz w:val="18"/>
              </w:rPr>
            </w:pPr>
            <w:r>
              <w:rPr>
                <w:sz w:val="18"/>
              </w:rPr>
            </w:r>
          </w:p>
        </w:tc>
        <w:tc>
          <w:tcPr>
            <w:tcW w:w="6045" w:type="dxa"/>
            <w:tcBorders/>
          </w:tcPr>
          <w:p>
            <w:pPr>
              <w:pStyle w:val="Normal"/>
              <w:widowControl/>
              <w:snapToGrid w:val="false"/>
              <w:rPr>
                <w:sz w:val="18"/>
              </w:rPr>
            </w:pPr>
            <w:r>
              <w:rPr>
                <w:sz w:val="18"/>
              </w:rPr>
            </w:r>
          </w:p>
        </w:tc>
        <w:tc>
          <w:tcPr>
            <w:tcW w:w="990" w:type="dxa"/>
            <w:tcBorders/>
          </w:tcPr>
          <w:p>
            <w:pPr>
              <w:pStyle w:val="Normal"/>
              <w:widowControl/>
              <w:snapToGrid w:val="false"/>
              <w:ind w:start="-180" w:end="0"/>
              <w:rPr>
                <w:sz w:val="18"/>
              </w:rPr>
            </w:pPr>
            <w:r>
              <w:rPr>
                <w:sz w:val="18"/>
              </w:rPr>
            </w:r>
          </w:p>
        </w:tc>
        <w:tc>
          <w:tcPr>
            <w:tcW w:w="2965" w:type="dxa"/>
            <w:tcBorders/>
          </w:tcPr>
          <w:p>
            <w:pPr>
              <w:pStyle w:val="Normal"/>
              <w:widowControl/>
              <w:snapToGrid w:val="false"/>
              <w:rPr>
                <w:sz w:val="18"/>
              </w:rPr>
            </w:pPr>
            <w:r>
              <w:rPr>
                <w:sz w:val="18"/>
              </w:rPr>
            </w:r>
          </w:p>
        </w:tc>
      </w:tr>
      <w:tr>
        <w:trPr>
          <w:trHeight w:val="300" w:hRule="exact"/>
        </w:trPr>
        <w:tc>
          <w:tcPr>
            <w:tcW w:w="708" w:type="dxa"/>
            <w:tcBorders/>
          </w:tcPr>
          <w:p>
            <w:pPr>
              <w:pStyle w:val="Normal"/>
              <w:widowControl/>
              <w:ind w:start="-180" w:end="0"/>
              <w:jc w:val="end"/>
              <w:rPr>
                <w:sz w:val="16"/>
              </w:rPr>
            </w:pPr>
            <w:r>
              <w:rPr>
                <w:sz w:val="16"/>
              </w:rPr>
              <w:t>From:</w:t>
            </w:r>
          </w:p>
        </w:tc>
        <w:tc>
          <w:tcPr>
            <w:tcW w:w="6045" w:type="dxa"/>
            <w:tcBorders/>
          </w:tcPr>
          <w:p>
            <w:pPr>
              <w:pStyle w:val="From"/>
              <w:widowControl/>
              <w:rPr/>
            </w:pPr>
            <w:r>
              <w:rPr/>
              <w:t>Mike McGowan</w:t>
            </w:r>
          </w:p>
        </w:tc>
        <w:tc>
          <w:tcPr>
            <w:tcW w:w="990" w:type="dxa"/>
            <w:tcBorders/>
          </w:tcPr>
          <w:p>
            <w:pPr>
              <w:pStyle w:val="Normal"/>
              <w:widowControl/>
              <w:ind w:start="-180" w:end="0"/>
              <w:jc w:val="end"/>
              <w:rPr>
                <w:sz w:val="16"/>
              </w:rPr>
            </w:pPr>
            <w:r>
              <w:rPr>
                <w:sz w:val="16"/>
              </w:rPr>
              <w:t>Department:</w:t>
            </w:r>
          </w:p>
        </w:tc>
        <w:tc>
          <w:tcPr>
            <w:tcW w:w="2965" w:type="dxa"/>
            <w:tcBorders/>
          </w:tcPr>
          <w:p>
            <w:pPr>
              <w:pStyle w:val="Department"/>
              <w:widowControl/>
              <w:rPr/>
            </w:pPr>
            <w:bookmarkStart w:id="1" w:name="From"/>
            <w:bookmarkEnd w:id="1"/>
            <w:r>
              <w:rPr/>
              <w:t xml:space="preserve">ETS </w:t>
            </w:r>
          </w:p>
        </w:tc>
      </w:tr>
      <w:tr>
        <w:trPr>
          <w:trHeight w:val="216" w:hRule="exact"/>
        </w:trPr>
        <w:tc>
          <w:tcPr>
            <w:tcW w:w="708" w:type="dxa"/>
            <w:tcBorders/>
          </w:tcPr>
          <w:p>
            <w:pPr>
              <w:pStyle w:val="Normal"/>
              <w:widowControl/>
              <w:snapToGrid w:val="false"/>
              <w:ind w:start="-180" w:end="0"/>
              <w:jc w:val="end"/>
              <w:rPr>
                <w:sz w:val="18"/>
              </w:rPr>
            </w:pPr>
            <w:r>
              <w:rPr>
                <w:sz w:val="18"/>
              </w:rPr>
            </w:r>
          </w:p>
        </w:tc>
        <w:tc>
          <w:tcPr>
            <w:tcW w:w="6045" w:type="dxa"/>
            <w:tcBorders/>
          </w:tcPr>
          <w:p>
            <w:pPr>
              <w:pStyle w:val="Normal"/>
              <w:widowControl/>
              <w:snapToGrid w:val="false"/>
              <w:rPr>
                <w:sz w:val="18"/>
              </w:rPr>
            </w:pPr>
            <w:r>
              <w:rPr>
                <w:sz w:val="18"/>
              </w:rPr>
            </w:r>
          </w:p>
        </w:tc>
        <w:tc>
          <w:tcPr>
            <w:tcW w:w="990" w:type="dxa"/>
            <w:tcBorders/>
          </w:tcPr>
          <w:p>
            <w:pPr>
              <w:pStyle w:val="Normal"/>
              <w:widowControl/>
              <w:snapToGrid w:val="false"/>
              <w:ind w:start="-180" w:end="0"/>
              <w:rPr>
                <w:sz w:val="18"/>
              </w:rPr>
            </w:pPr>
            <w:r>
              <w:rPr>
                <w:sz w:val="18"/>
              </w:rPr>
            </w:r>
          </w:p>
        </w:tc>
        <w:tc>
          <w:tcPr>
            <w:tcW w:w="2965" w:type="dxa"/>
            <w:tcBorders/>
          </w:tcPr>
          <w:p>
            <w:pPr>
              <w:pStyle w:val="Normal"/>
              <w:widowControl/>
              <w:snapToGrid w:val="false"/>
              <w:rPr>
                <w:sz w:val="18"/>
              </w:rPr>
            </w:pPr>
            <w:r>
              <w:rPr>
                <w:sz w:val="18"/>
              </w:rPr>
            </w:r>
          </w:p>
        </w:tc>
      </w:tr>
      <w:tr>
        <w:trPr>
          <w:trHeight w:val="600" w:hRule="exact"/>
        </w:trPr>
        <w:tc>
          <w:tcPr>
            <w:tcW w:w="708" w:type="dxa"/>
            <w:tcBorders>
              <w:bottom w:val="single" w:sz="18" w:space="0" w:color="000000"/>
            </w:tcBorders>
          </w:tcPr>
          <w:p>
            <w:pPr>
              <w:pStyle w:val="Normal"/>
              <w:widowControl/>
              <w:ind w:start="-180" w:end="0"/>
              <w:jc w:val="end"/>
              <w:rPr>
                <w:sz w:val="16"/>
              </w:rPr>
            </w:pPr>
            <w:r>
              <w:rPr>
                <w:sz w:val="16"/>
              </w:rPr>
              <w:t>Subject:</w:t>
            </w:r>
          </w:p>
        </w:tc>
        <w:tc>
          <w:tcPr>
            <w:tcW w:w="6045" w:type="dxa"/>
            <w:tcBorders>
              <w:bottom w:val="single" w:sz="18" w:space="0" w:color="000000"/>
            </w:tcBorders>
          </w:tcPr>
          <w:p>
            <w:pPr>
              <w:pStyle w:val="Subject"/>
              <w:widowControl/>
              <w:rPr/>
            </w:pPr>
            <w:bookmarkStart w:id="2" w:name="Subject"/>
            <w:bookmarkEnd w:id="2"/>
            <w:r>
              <w:rPr/>
              <w:t>EBITDA for Trailblazer</w:t>
            </w:r>
          </w:p>
        </w:tc>
        <w:tc>
          <w:tcPr>
            <w:tcW w:w="990" w:type="dxa"/>
            <w:tcBorders>
              <w:bottom w:val="single" w:sz="18" w:space="0" w:color="000000"/>
            </w:tcBorders>
          </w:tcPr>
          <w:p>
            <w:pPr>
              <w:pStyle w:val="Normal"/>
              <w:widowControl/>
              <w:ind w:start="-180" w:end="0"/>
              <w:jc w:val="end"/>
              <w:rPr>
                <w:sz w:val="16"/>
              </w:rPr>
            </w:pPr>
            <w:r>
              <w:rPr>
                <w:sz w:val="16"/>
              </w:rPr>
              <w:t>Date:</w:t>
            </w:r>
          </w:p>
        </w:tc>
        <w:tc>
          <w:tcPr>
            <w:tcW w:w="2965" w:type="dxa"/>
            <w:tcBorders>
              <w:bottom w:val="single" w:sz="18" w:space="0" w:color="000000"/>
            </w:tcBorders>
          </w:tcPr>
          <w:p>
            <w:pPr>
              <w:pStyle w:val="Date"/>
              <w:widowControl/>
              <w:rPr/>
            </w:pPr>
            <w:r>
              <w:rPr/>
              <w:fldChar w:fldCharType="begin"/>
            </w:r>
            <w:r>
              <w:rPr/>
              <w:instrText xml:space="preserve"> DATE \@"MMMM\ d', 'yyyy" </w:instrText>
            </w:r>
            <w:r>
              <w:rPr/>
              <w:fldChar w:fldCharType="separate"/>
            </w:r>
            <w:r>
              <w:rPr/>
              <w:t>September 28, 2025</w:t>
            </w:r>
            <w:r>
              <w:rPr/>
              <w:fldChar w:fldCharType="end"/>
            </w:r>
          </w:p>
        </w:tc>
      </w:tr>
    </w:tbl>
    <w:p>
      <w:pPr>
        <w:pStyle w:val="Body"/>
        <w:widowControl/>
        <w:rPr/>
      </w:pPr>
      <w:r>
        <w:rPr/>
      </w:r>
    </w:p>
    <w:p>
      <w:pPr>
        <w:pStyle w:val="Normal"/>
        <w:rPr>
          <w:sz w:val="22"/>
        </w:rPr>
      </w:pPr>
      <w:bookmarkStart w:id="3" w:name="StartOfMemo"/>
      <w:bookmarkEnd w:id="3"/>
      <w:r>
        <w:rPr>
          <w:sz w:val="22"/>
        </w:rPr>
        <w:t>Listed below is the EBITDA for Enron for Trailblazer as requested this morning.</w:t>
      </w:r>
    </w:p>
    <w:p>
      <w:pPr>
        <w:pStyle w:val="Normal"/>
        <w:rPr>
          <w:sz w:val="22"/>
        </w:rPr>
      </w:pPr>
      <w:r>
        <w:rPr>
          <w:sz w:val="22"/>
        </w:rPr>
      </w:r>
    </w:p>
    <w:p>
      <w:pPr>
        <w:pStyle w:val="Normal"/>
        <w:rPr/>
      </w:pPr>
      <w:r>
        <w:rPr>
          <w:sz w:val="22"/>
        </w:rPr>
        <w:tab/>
        <w:tab/>
        <w:tab/>
        <w:t xml:space="preserve">                 </w:t>
      </w:r>
      <w:r>
        <w:rPr>
          <w:sz w:val="22"/>
          <w:u w:val="single"/>
        </w:rPr>
        <w:t>EBITDA</w:t>
      </w:r>
    </w:p>
    <w:p>
      <w:pPr>
        <w:pStyle w:val="Normal"/>
        <w:numPr>
          <w:ilvl w:val="0"/>
          <w:numId w:val="2"/>
        </w:numPr>
        <w:rPr>
          <w:sz w:val="22"/>
        </w:rPr>
      </w:pPr>
      <w:r>
        <w:rPr>
          <w:sz w:val="22"/>
        </w:rPr>
        <w:t>$ 7.8 MM</w:t>
      </w:r>
    </w:p>
    <w:p>
      <w:pPr>
        <w:pStyle w:val="Normal"/>
        <w:numPr>
          <w:ilvl w:val="0"/>
          <w:numId w:val="2"/>
        </w:numPr>
        <w:rPr>
          <w:sz w:val="22"/>
        </w:rPr>
      </w:pPr>
      <w:r>
        <w:rPr>
          <w:rFonts w:eastAsia="Arial"/>
          <w:sz w:val="22"/>
        </w:rPr>
        <w:t xml:space="preserve"> </w:t>
      </w:r>
      <w:r>
        <w:rPr>
          <w:sz w:val="22"/>
        </w:rPr>
        <w:t>10.8 MM</w:t>
      </w:r>
    </w:p>
    <w:p>
      <w:pPr>
        <w:pStyle w:val="Normal"/>
        <w:numPr>
          <w:ilvl w:val="0"/>
          <w:numId w:val="2"/>
        </w:numPr>
        <w:rPr>
          <w:sz w:val="22"/>
        </w:rPr>
      </w:pPr>
      <w:r>
        <w:rPr>
          <w:rFonts w:eastAsia="Arial"/>
          <w:sz w:val="22"/>
        </w:rPr>
        <w:t xml:space="preserve"> </w:t>
      </w:r>
      <w:r>
        <w:rPr>
          <w:sz w:val="22"/>
        </w:rPr>
        <w:t>13.1 MM</w:t>
      </w:r>
    </w:p>
    <w:p>
      <w:pPr>
        <w:pStyle w:val="Normal"/>
        <w:rPr>
          <w:sz w:val="22"/>
        </w:rPr>
      </w:pPr>
      <w:r>
        <w:rPr>
          <w:sz w:val="22"/>
        </w:rPr>
      </w:r>
    </w:p>
    <w:p>
      <w:pPr>
        <w:pStyle w:val="Normal"/>
        <w:rPr>
          <w:sz w:val="22"/>
        </w:rPr>
      </w:pPr>
      <w:r>
        <w:rPr>
          <w:sz w:val="22"/>
        </w:rPr>
        <w:t>These estimates are based on expansion in-service of June 1, 2002 and a resolution of the CIG equity participation issue resulting in a 30% Partnership interest for Enron.  2001 reflects our current Partnership interest of 33 1/3%.</w:t>
      </w:r>
    </w:p>
    <w:p>
      <w:pPr>
        <w:pStyle w:val="Normal"/>
        <w:rPr>
          <w:sz w:val="22"/>
        </w:rPr>
      </w:pPr>
      <w:r>
        <w:rPr>
          <w:sz w:val="22"/>
        </w:rPr>
      </w:r>
    </w:p>
    <w:p>
      <w:pPr>
        <w:pStyle w:val="Normal"/>
        <w:rPr>
          <w:sz w:val="22"/>
        </w:rPr>
      </w:pPr>
      <w:r>
        <w:rPr>
          <w:sz w:val="22"/>
        </w:rPr>
        <w:t xml:space="preserve">One thing to keep in mind as we value our position in Trailblazer for 2003 and beyond is the impact of Trailblazer’s next Section 4 general rate case.  Trailblazer must file and place new rates into effect January 1, 2003.  A major issue will be the rate treatment of the revenues associated with the expansion.  </w:t>
      </w:r>
    </w:p>
    <w:p>
      <w:pPr>
        <w:pStyle w:val="Normal"/>
        <w:rPr>
          <w:sz w:val="22"/>
        </w:rPr>
      </w:pPr>
      <w:r>
        <w:rPr>
          <w:sz w:val="22"/>
        </w:rPr>
      </w:r>
    </w:p>
    <w:p>
      <w:pPr>
        <w:pStyle w:val="BodyText"/>
        <w:rPr/>
      </w:pPr>
      <w:r>
        <w:rPr/>
        <w:t>The expansion rates are “negotiated” 10 year fixed rates which average 23¢ as compared to the current max recourse rate of 12¢.  The expansion shippers must contractually pay the 23¢ average rate, but will the FERC staff and current shippers allocate more costs to the expansion, reduce rate of return, and reduce the base rate and revenues due to the financial success of the expansion?  Such a scenario could result in some dilution of the base revenues for 2003 forward.</w:t>
      </w:r>
    </w:p>
    <w:p>
      <w:pPr>
        <w:pStyle w:val="Normal"/>
        <w:rPr>
          <w:sz w:val="22"/>
        </w:rPr>
      </w:pPr>
      <w:r>
        <w:rPr>
          <w:sz w:val="22"/>
        </w:rPr>
      </w:r>
    </w:p>
    <w:p>
      <w:pPr>
        <w:pStyle w:val="Normal"/>
        <w:rPr>
          <w:sz w:val="22"/>
        </w:rPr>
      </w:pPr>
      <w:r>
        <w:rPr>
          <w:sz w:val="22"/>
        </w:rPr>
        <w:t>I have asked Mary Kay for her assessment of such rate treatment.  I also have passed this concern onto Steve Dowd and will work with him on the impact.</w:t>
      </w:r>
    </w:p>
    <w:p>
      <w:pPr>
        <w:pStyle w:val="Normal"/>
        <w:rPr>
          <w:sz w:val="22"/>
        </w:rPr>
      </w:pPr>
      <w:r>
        <w:rPr>
          <w:sz w:val="22"/>
        </w:rPr>
      </w:r>
    </w:p>
    <w:p>
      <w:pPr>
        <w:pStyle w:val="Normal"/>
        <w:rPr>
          <w:sz w:val="22"/>
        </w:rPr>
      </w:pPr>
      <w:r>
        <w:rPr>
          <w:sz w:val="22"/>
        </w:rPr>
        <w:t>CC:  Dave Neubauer</w:t>
      </w:r>
    </w:p>
    <w:p>
      <w:pPr>
        <w:pStyle w:val="Normal"/>
        <w:rPr>
          <w:sz w:val="22"/>
        </w:rPr>
      </w:pPr>
      <w:r>
        <w:rPr>
          <w:rFonts w:eastAsia="Arial"/>
          <w:sz w:val="22"/>
        </w:rPr>
        <w:t xml:space="preserve">         </w:t>
      </w:r>
      <w:r>
        <w:rPr>
          <w:sz w:val="22"/>
        </w:rPr>
        <w:t>Steve Dowd</w:t>
      </w:r>
    </w:p>
    <w:p>
      <w:pPr>
        <w:pStyle w:val="Body"/>
        <w:widowControl/>
        <w:rPr>
          <w:sz w:val="22"/>
        </w:rPr>
      </w:pPr>
      <w:r>
        <w:rPr>
          <w:sz w:val="22"/>
        </w:rPr>
      </w:r>
    </w:p>
    <w:p>
      <w:pPr>
        <w:pStyle w:val="CopyList"/>
        <w:widowControl/>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-274955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65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001"/>
      <w:numFmt w:val="decimal"/>
      <w:lvlText w:val="%1"/>
      <w:lvlJc w:val="start"/>
      <w:pPr>
        <w:tabs>
          <w:tab w:val="num" w:pos="2700"/>
        </w:tabs>
        <w:ind w:start="2700" w:hanging="21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2001-10-01T13:20:00Z</dcterms:created>
  <dc:creator>jmccoy</dc:creator>
  <dc:description/>
  <dc:language>en-CA</dc:language>
  <cp:lastModifiedBy>mmcgowa</cp:lastModifiedBy>
  <cp:lastPrinted>2001-10-01T10:50:00Z</cp:lastPrinted>
  <dcterms:modified xsi:type="dcterms:W3CDTF">2001-10-01T13:20:00Z</dcterms:modified>
  <cp:revision>3</cp:revision>
  <dc:subject/>
  <dc:title>Better, Faster, Simpler Memo </dc:title>
</cp:coreProperties>
</file>