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</w:tabs>
        <w:suppressAutoHyphens w:val="true"/>
        <w:jc w:val="center"/>
        <w:rPr>
          <w:rFonts w:ascii="Book Antiqua" w:hAnsi="Book Antiqua" w:cs="Book Antiqua"/>
          <w:b/>
          <w:spacing w:val="-3"/>
          <w:sz w:val="28"/>
        </w:rPr>
      </w:pPr>
      <w:r>
        <w:rPr>
          <w:rFonts w:cs="Book Antiqua" w:ascii="Book Antiqua" w:hAnsi="Book Antiqua"/>
          <w:b/>
          <w:spacing w:val="-3"/>
        </w:rPr>
        <w:t>ELIZABETH A. SUTTON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jc w:val="center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17710 Telegraph Creek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jc w:val="center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Spring, Texas 77379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jc w:val="center"/>
        <w:rPr>
          <w:rFonts w:ascii="Book Antiqua" w:hAnsi="Book Antiqua" w:cs="Book Antiqua"/>
          <w:spacing w:val="-3"/>
        </w:rPr>
      </w:pPr>
      <w:r>
        <w:rPr>
          <w:rFonts w:cs="Book Antiqua" w:ascii="Book Antiqua" w:hAnsi="Book Antiqua"/>
          <w:spacing w:val="-3"/>
          <w:sz w:val="20"/>
        </w:rPr>
        <w:t>(281) 379-2161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EDUCATION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Book Antiqua" w:ascii="Book Antiqua" w:hAnsi="Book Antiqua"/>
          <w:b/>
          <w:spacing w:val="-3"/>
          <w:sz w:val="20"/>
          <w:u w:val="single"/>
        </w:rPr>
        <w:t>Texas A&amp;M University</w:t>
      </w:r>
      <w:r>
        <w:rPr>
          <w:rFonts w:cs="Book Antiqua" w:ascii="Book Antiqua" w:hAnsi="Book Antiqua"/>
          <w:b/>
          <w:spacing w:val="-3"/>
          <w:sz w:val="20"/>
        </w:rPr>
        <w:t>,</w:t>
      </w:r>
      <w:r>
        <w:rPr>
          <w:rFonts w:cs="Book Antiqua" w:ascii="Book Antiqua" w:hAnsi="Book Antiqua"/>
          <w:spacing w:val="-3"/>
          <w:sz w:val="20"/>
        </w:rPr>
        <w:t xml:space="preserve"> College Station, Texas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B. S. in Political Science, Minor Psychology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December, 1987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ab/>
        <w:tab/>
      </w:r>
    </w:p>
    <w:p>
      <w:pPr>
        <w:pStyle w:val="Heading4"/>
        <w:ind w:hanging="0" w:start="0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/>
        </w:rPr>
      </w:pPr>
      <w:r>
        <w:rPr>
          <w:b/>
        </w:rPr>
        <w:t>Entergy Power Group</w:t>
      </w:r>
    </w:p>
    <w:p>
      <w:pPr>
        <w:pStyle w:val="Heading3"/>
        <w:ind w:hanging="0" w:start="0"/>
        <w:rPr>
          <w:b/>
          <w:u w:val="none"/>
        </w:rPr>
      </w:pPr>
      <w:r>
        <w:rPr>
          <w:u w:val="none"/>
        </w:rPr>
        <w:t>The Woodlands, Texas</w:t>
      </w:r>
    </w:p>
    <w:p>
      <w:pPr>
        <w:pStyle w:val="Heading3"/>
        <w:ind w:hanging="0" w:start="0"/>
        <w:rPr>
          <w:b/>
          <w:u w:val="none"/>
        </w:rPr>
      </w:pPr>
      <w:r>
        <w:rPr>
          <w:b/>
          <w:u w:val="none"/>
        </w:rPr>
      </w:r>
    </w:p>
    <w:p>
      <w:pPr>
        <w:pStyle w:val="Heading3"/>
        <w:ind w:hanging="0" w:start="0"/>
        <w:rPr/>
      </w:pPr>
      <w:r>
        <w:rPr>
          <w:b/>
          <w:bCs/>
          <w:u w:val="none"/>
        </w:rPr>
        <w:t>Market Intelligence/Portfolio Strategy</w:t>
      </w:r>
      <w:r>
        <w:rPr>
          <w:b/>
          <w:u w:val="none"/>
        </w:rPr>
        <w:tab/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rFonts w:cs="Book Antiqua" w:ascii="Book Antiqua" w:hAnsi="Book Antiqua"/>
          <w:b/>
          <w:bCs/>
          <w:sz w:val="20"/>
        </w:rPr>
        <w:t>December, 2000 to Present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z w:val="20"/>
        </w:rPr>
        <w:t>Responsible for developing consensus on fundamental drivers of power supply and demand including natural gas prices and power capacity additions.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Gather data with regard to supply/demand, capacity mix, and new entrants by means of database products such as Henwood EMSS, RDI NewGen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Implement RDI NewGen database system for tracking U.S. capacity additions.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Participate in assessment of the attractiveness of U.S. Regional markets for power plant development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Prepare assessment presentations to provide strategic information for Business Development and upper management</w:t>
      </w:r>
    </w:p>
    <w:p>
      <w:pPr>
        <w:pStyle w:val="Heading3"/>
        <w:ind w:hanging="0" w:start="0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/>
          <w:b/>
          <w:spacing w:val="-3"/>
          <w:sz w:val="20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>Entergy Power Marketing Co.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The Woodlands, Texas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ab/>
        <w:tab/>
      </w:r>
    </w:p>
    <w:p>
      <w:pPr>
        <w:pStyle w:val="Heading2"/>
        <w:ind w:hanging="0" w:start="0"/>
        <w:rPr/>
      </w:pPr>
      <w:r>
        <w:rPr/>
        <w:t>Real Time Shift Desk</w:t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  <w:tab/>
        <w:t>June, 2000 to December, 2000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Hourly trading and management of assets in Entergy and ERCOT  – up to 700 MW’s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Hourly trading and management of full requirement customers in SERC and MAIN – up to 150 MW’s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Hourly trading of redirect transmission in Entergy and SWPP to further maximize revenue opportunities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Limit risk and increase revenue through back-to-back arbitrage trading across all regions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 xml:space="preserve">Experienced in moving power across the ERCOT tie, in and out of MAPP as well as the Eastern ISO’s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Continuous monitoring of capacity customers for adjustment/rescheduling needs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Load forecasting pertaining to full load requirement and asset management deals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Proficient in OATI, OASIS, as well as the ISO web sites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Proficiently manage cuts, derates, and various other types of real-time shift emergencies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 xml:space="preserve">Assist with next-day scheduling  </w:t>
      </w:r>
    </w:p>
    <w:p>
      <w:pPr>
        <w:pStyle w:val="Document1"/>
        <w:keepNext w:val="false"/>
        <w:keepLines w:val="false"/>
        <w:suppressAutoHyphens w:val="fals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>Phillips Petroleum Company, Inc.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Houston, Texas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ab/>
        <w:tab/>
      </w:r>
    </w:p>
    <w:p>
      <w:pPr>
        <w:pStyle w:val="Heading2"/>
        <w:ind w:hanging="0" w:start="0"/>
        <w:rPr/>
      </w:pPr>
      <w:r>
        <w:rPr/>
        <w:t>Gas Control/Supply</w:t>
        <w:tab/>
        <w:tab/>
        <w:tab/>
        <w:tab/>
        <w:tab/>
        <w:tab/>
        <w:tab/>
        <w:t>May, 1999 to June, 2000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Daily nomination procedures via electronic nomination software.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Gas volume balancing - under/over balancing, curtailments and imbalancing problems.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Monitor production volumes; confirm volumes with pipelines.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Manage balances between production vs. nominated volumes for cash-out purposes.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Forecast forward month equity production for gas sales.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Act as liaison between marketers and customers.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Trade imbalance gas as needed.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Perform segmentation and least cost routing.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Generate spreadsheets for tracking volumes using Microsoft Excel.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Input nomination data using Transenergy gas tracking software.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Experienced on the following pipelines: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Tennessee Gas Pipeline, Iroquois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Transco, Texas Eastern - production, market area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Texas Gas Transmission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Sonat, Sea Robin, Destin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Columbia Gulf Transmission, Columbia Gas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ANR, Great Lakes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ind w:hanging="360" w:start="720" w:end="0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Sabine, Bridgeline, LRC, LIG</w:t>
      </w:r>
    </w:p>
    <w:p>
      <w:pPr>
        <w:pStyle w:val="Heading2"/>
        <w:ind w:hanging="0" w:start="0"/>
        <w:rPr>
          <w:rFonts w:ascii="Book Antiqua" w:hAnsi="Book Antiqua" w:cs="Book Antiqua"/>
          <w:spacing w:val="-3"/>
          <w:sz w:val="20"/>
          <w:u w:val="single"/>
        </w:rPr>
      </w:pPr>
      <w:r>
        <w:rPr>
          <w:rFonts w:cs="Book Antiqua"/>
          <w:spacing w:val="-3"/>
          <w:sz w:val="20"/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Noram Energy Services, Inc.</w:t>
      </w:r>
      <w:r>
        <w:rPr/>
        <w:tab/>
        <w:tab/>
        <w:tab/>
        <w:tab/>
        <w:tab/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Houston, Texas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eastAsia="Book Antiqua" w:cs="Book Antiqua"/>
          <w:spacing w:val="-3"/>
          <w:sz w:val="20"/>
        </w:rPr>
      </w:pPr>
      <w:r>
        <w:rPr>
          <w:rFonts w:eastAsia="Book Antiqua" w:cs="Book Antiqua" w:ascii="Book Antiqua" w:hAnsi="Book Antiqua"/>
          <w:spacing w:val="-3"/>
          <w:sz w:val="20"/>
        </w:rPr>
        <w:t xml:space="preserve"> </w:t>
      </w:r>
    </w:p>
    <w:p>
      <w:pPr>
        <w:pStyle w:val="Heading3"/>
        <w:ind w:hanging="0" w:start="0"/>
        <w:rPr>
          <w:b/>
          <w:u w:val="none"/>
        </w:rPr>
      </w:pPr>
      <w:r>
        <w:rPr>
          <w:b/>
          <w:u w:val="none"/>
        </w:rPr>
        <w:t>Natural Gas Trader</w:t>
        <w:tab/>
        <w:tab/>
        <w:tab/>
        <w:tab/>
        <w:tab/>
        <w:tab/>
        <w:tab/>
        <w:t>January, 1998 to January, 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Marketed gas from Gulf Coast to Northeast region of United States.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Emphasized direct markets - utilities, LDC's, end-users.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Managed daily trades from 20,000 to 50,000 mmbtu's of swing volumes via Texas Gas, Transco, Texas Eastern, Columbia Gulf/Gas.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Negotiated long-term sales contracts by incorporating financial products to limit risks and increase revenue.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Expanded trading relationships with Northeast markets, i.e., rebuilt relations with previously established markets; canvassed Northeast region for new markets.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Traded EFP's.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eastAsia="Book Antiqua" w:cs="Book Antiqua" w:ascii="Book Antiqua" w:hAnsi="Book Antiqua"/>
          <w:spacing w:val="-3"/>
          <w:sz w:val="20"/>
        </w:rPr>
        <w:t xml:space="preserve"> </w:t>
      </w:r>
      <w:r>
        <w:rPr>
          <w:rFonts w:cs="Book Antiqua" w:ascii="Book Antiqua" w:hAnsi="Book Antiqua"/>
          <w:spacing w:val="-3"/>
          <w:sz w:val="20"/>
        </w:rPr>
        <w:t>Procured gas supplies and transportation for retail department.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Book Antiqua" w:ascii="Book Antiqua" w:hAnsi="Book Antiqua"/>
          <w:spacing w:val="-3"/>
          <w:sz w:val="20"/>
        </w:rPr>
        <w:tab/>
        <w:tab/>
        <w:tab/>
      </w:r>
      <w:r>
        <w:rPr>
          <w:rFonts w:cs="Book Antiqua" w:ascii="Book Antiqua" w:hAnsi="Book Antiqua"/>
          <w:b/>
          <w:spacing w:val="-3"/>
          <w:sz w:val="20"/>
        </w:rPr>
        <w:tab/>
        <w:tab/>
        <w:t xml:space="preserve"> </w:t>
      </w:r>
    </w:p>
    <w:p>
      <w:pPr>
        <w:pStyle w:val="Heading3"/>
        <w:ind w:hanging="0" w:start="0"/>
        <w:rPr>
          <w:u w:val="none"/>
        </w:rPr>
      </w:pPr>
      <w:r>
        <w:rPr>
          <w:b/>
          <w:u w:val="none"/>
        </w:rPr>
        <w:t xml:space="preserve">Gas Controller </w:t>
        <w:tab/>
        <w:tab/>
        <w:tab/>
        <w:tab/>
        <w:tab/>
        <w:tab/>
        <w:tab/>
        <w:tab/>
        <w:t>September, 1995 to January, 1998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Daily nomination procedures via electronic nomination software.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Gas volume balancing - under/over balancing, curtailments and imbalancing problems.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Confirm volumes with pipelines.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Confirm daily volumes with major LDC’s.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Act as liaison between marketers and customers.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Trade gas on introductory level.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Perform segmentation and least cost routing.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Handle transportation &amp; exchange problems as needed. i.e., rates, discounts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Generate spreadsheets for tracking volumes using Excel 5.0.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 xml:space="preserve">Input nomination data using in-house gas tracking software.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Track storage accounts on daily basis.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Involved in cross training on pipelines.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b/>
          <w:spacing w:val="-3"/>
          <w:sz w:val="20"/>
          <w:u w:val="single"/>
        </w:rPr>
      </w:pPr>
      <w:r>
        <w:rPr>
          <w:rFonts w:cs="Book Antiqua" w:ascii="Book Antiqua" w:hAnsi="Book Antiqua"/>
          <w:b/>
          <w:spacing w:val="-3"/>
          <w:sz w:val="20"/>
          <w:u w:val="single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  <w:u w:val="single"/>
        </w:rPr>
        <w:t>Eastex Energy, Inc.</w:t>
      </w:r>
      <w:r>
        <w:rPr>
          <w:rFonts w:cs="Book Antiqua" w:ascii="Book Antiqua" w:hAnsi="Book Antiqua"/>
          <w:b/>
          <w:spacing w:val="-3"/>
          <w:sz w:val="20"/>
        </w:rPr>
        <w:tab/>
        <w:tab/>
        <w:tab/>
      </w:r>
    </w:p>
    <w:p>
      <w:pPr>
        <w:pStyle w:val="Heading2"/>
        <w:ind w:hanging="0" w:start="0"/>
        <w:jc w:val="both"/>
        <w:rPr>
          <w:b w:val="false"/>
        </w:rPr>
      </w:pPr>
      <w:r>
        <w:rPr>
          <w:b w:val="false"/>
        </w:rPr>
        <w:t>Houston, Texas</w:t>
      </w:r>
    </w:p>
    <w:p>
      <w:pPr>
        <w:pStyle w:val="Document1"/>
        <w:keepNext w:val="false"/>
        <w:keepLines w:val="false"/>
        <w:suppressAutoHyphens w:val="false"/>
        <w:spacing w:lineRule="auto" w:line="120"/>
        <w:jc w:val="both"/>
        <w:rPr/>
      </w:pPr>
      <w:r>
        <w:rPr/>
      </w:r>
    </w:p>
    <w:p>
      <w:pPr>
        <w:pStyle w:val="Document1"/>
        <w:keepNext w:val="false"/>
        <w:keepLines w:val="false"/>
        <w:suppressAutoHyphens w:val="false"/>
        <w:jc w:val="both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>Gas Controller</w:t>
        <w:tab/>
        <w:tab/>
        <w:tab/>
        <w:tab/>
        <w:tab/>
        <w:tab/>
        <w:tab/>
        <w:tab/>
        <w:t>January, 1994 to September, 1995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Daily nomination procedures via electronic nomination software.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Gas volume balancing - under/over balancing, curtailments and imbalancing problems.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Confirm volumes with pipelines.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Generate spreadsheets for tracking volumes using Excel 5.0.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 xml:space="preserve">Input nomination data using in-house gas tracking software.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Prepare pricing spreadsheets for economics analyses.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Balance inter-companies.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Track storage accounts on monthly basis.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Involved in cross training on pipelines.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ind w:hanging="0" w:start="0" w:end="0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 xml:space="preserve">Prepare end of month reports to aid Accounting in billing process of various markets, supplies and end- users.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</w:r>
    </w:p>
    <w:p>
      <w:pPr>
        <w:pStyle w:val="Heading2"/>
        <w:ind w:hanging="0" w:start="0"/>
        <w:rPr>
          <w:rFonts w:ascii="Book Antiqua" w:hAnsi="Book Antiqua" w:cs="Book Antiqua"/>
          <w:spacing w:val="-3"/>
          <w:sz w:val="20"/>
          <w:u w:val="single"/>
        </w:rPr>
      </w:pPr>
      <w:r>
        <w:rPr>
          <w:rFonts w:cs="Book Antiqua"/>
          <w:spacing w:val="-3"/>
          <w:sz w:val="20"/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Louisiana Natural Gas Companies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cs="Book Antiqua"/>
          <w:b/>
          <w:spacing w:val="-3"/>
          <w:sz w:val="20"/>
          <w:u w:val="single"/>
        </w:rPr>
      </w:pPr>
      <w:r>
        <w:rPr>
          <w:rFonts w:cs="Book Antiqua" w:ascii="Book Antiqua" w:hAnsi="Book Antiqua"/>
          <w:b/>
          <w:spacing w:val="-3"/>
          <w:sz w:val="20"/>
          <w:u w:val="single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>Louisiana Natural Gas Pipeline, Inc.</w:t>
        <w:tab/>
        <w:tab/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Houston, Texas</w:t>
      </w:r>
    </w:p>
    <w:p>
      <w:pPr>
        <w:pStyle w:val="Document1"/>
        <w:keepNext w:val="false"/>
        <w:keepLines w:val="false"/>
        <w:suppressAutoHyphens w:val="false"/>
        <w:spacing w:lineRule="auto" w:line="120"/>
        <w:rPr>
          <w:b/>
        </w:rPr>
      </w:pPr>
      <w:r>
        <w:rPr>
          <w:b/>
        </w:rPr>
      </w:r>
    </w:p>
    <w:p>
      <w:pPr>
        <w:pStyle w:val="Document1"/>
        <w:keepNext w:val="false"/>
        <w:keepLines w:val="false"/>
        <w:suppressAutoHyphens w:val="fals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>T&amp;E Representative</w:t>
        <w:tab/>
        <w:tab/>
        <w:tab/>
        <w:tab/>
        <w:tab/>
        <w:tab/>
        <w:tab/>
        <w:t>May, 1988 to January, 1994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Invoicing for sales and purchases.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Created spreadsheets for tracking volumes and invoice purposes.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Daily nominations via electronic nom. software.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Gas volume balancing i.e. imbalance problems.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Marketed small packages of gas.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Trained new employees.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>Louisiana Natural Gas Gathering Company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Houston, Texas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120"/>
        <w:rPr>
          <w:rFonts w:ascii="Book Antiqua" w:hAnsi="Book Antiqua" w:cs="Book Antiqua"/>
          <w:b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b/>
          <w:spacing w:val="-3"/>
          <w:sz w:val="20"/>
        </w:rPr>
        <w:t>Production Analyst</w:t>
        <w:tab/>
        <w:tab/>
        <w:tab/>
        <w:tab/>
        <w:tab/>
        <w:tab/>
        <w:tab/>
        <w:t>May, 1988 to January, 1994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Prepared allocations and invoices for gas gathered and transported.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Monitored daily pumper volumes.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Filed State Reports (Louisiana, Texas) i.e. R5d, R5t, R5p, quarterly purchaser nominations, T-3, P-5.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Generated spreadsheets of current prospects from PI Reports.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  <w:t>Involved in marketing program designed to develop new business.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Book Antiqua" w:hAnsi="Book Antiqua" w:cs="Book Antiqua"/>
          <w:spacing w:val="-3"/>
          <w:sz w:val="20"/>
        </w:rPr>
      </w:pPr>
      <w:r>
        <w:rPr>
          <w:rFonts w:cs="Book Antiqua" w:ascii="Book Antiqua" w:hAnsi="Book Antiqua"/>
          <w:spacing w:val="-3"/>
          <w:sz w:val="20"/>
        </w:rPr>
      </w:r>
    </w:p>
    <w:sectPr>
      <w:type w:val="nextPage"/>
      <w:pgSz w:w="12240" w:h="15840"/>
      <w:pgMar w:left="1152" w:right="1152" w:gutter="0" w:header="0" w:top="720" w:footer="0" w:bottom="965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outlineLvl w:val="0"/>
    </w:pPr>
    <w:rPr>
      <w:rFonts w:ascii="Book Antiqua" w:hAnsi="Book Antiqua" w:cs="Book Antiqua"/>
      <w:b/>
      <w:spacing w:val="-3"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outlineLvl w:val="1"/>
    </w:pPr>
    <w:rPr>
      <w:rFonts w:ascii="Book Antiqua" w:hAnsi="Book Antiqua" w:cs="Book Antiqua"/>
      <w:b/>
      <w:spacing w:val="-3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720" w:leader="none"/>
      </w:tabs>
      <w:suppressAutoHyphens w:val="true"/>
      <w:outlineLvl w:val="2"/>
    </w:pPr>
    <w:rPr>
      <w:rFonts w:ascii="Book Antiqua" w:hAnsi="Book Antiqua" w:cs="Book Antiqua"/>
      <w:spacing w:val="-3"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720" w:leader="none"/>
      </w:tabs>
      <w:suppressAutoHyphens w:val="true"/>
      <w:outlineLvl w:val="3"/>
    </w:pPr>
    <w:rPr>
      <w:rFonts w:ascii="Book Antiqua" w:hAnsi="Book Antiqua" w:cs="Book Antiqua"/>
      <w:b/>
      <w:spacing w:val="-3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Symbol" w:hAnsi="Symbol" w:cs="Symbol"/>
      <w:sz w:val="16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6z1">
    <w:name w:val="WW8Num6z1"/>
    <w:qFormat/>
    <w:rPr>
      <w:rFonts w:ascii="Symbol" w:hAnsi="Symbol" w:cs="Symbol"/>
      <w:sz w:val="16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WW8Num7z1">
    <w:name w:val="WW8Num7z1"/>
    <w:qFormat/>
    <w:rPr>
      <w:rFonts w:ascii="Symbol" w:hAnsi="Symbol" w:cs="Symbol"/>
      <w:sz w:val="16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Symbol" w:hAnsi="Symbol" w:cs="Symbol"/>
      <w:sz w:val="16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ument8">
    <w:name w:val="Document 8"/>
    <w:basedOn w:val="DefaultParagraphFont"/>
    <w:qFormat/>
    <w:rPr/>
  </w:style>
  <w:style w:type="character" w:styleId="Document4">
    <w:name w:val="Document 4"/>
    <w:basedOn w:val="DefaultParagraphFont"/>
    <w:qFormat/>
    <w:rPr>
      <w:b/>
      <w:i/>
      <w:sz w:val="24"/>
    </w:rPr>
  </w:style>
  <w:style w:type="character" w:styleId="Document6">
    <w:name w:val="Document 6"/>
    <w:basedOn w:val="DefaultParagraphFont"/>
    <w:qFormat/>
    <w:rPr/>
  </w:style>
  <w:style w:type="character" w:styleId="Document5">
    <w:name w:val="Document 5"/>
    <w:basedOn w:val="DefaultParagraphFont"/>
    <w:qFormat/>
    <w:rPr/>
  </w:style>
  <w:style w:type="character" w:styleId="Document2">
    <w:name w:val="Document 2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Document7">
    <w:name w:val="Document 7"/>
    <w:basedOn w:val="DefaultParagraphFont"/>
    <w:qFormat/>
    <w:rPr/>
  </w:style>
  <w:style w:type="character" w:styleId="Bibliogrphy">
    <w:name w:val="Bibliogrphy"/>
    <w:basedOn w:val="DefaultParagraphFont"/>
    <w:qFormat/>
    <w:rPr/>
  </w:style>
  <w:style w:type="character" w:styleId="Document3">
    <w:name w:val="Document 3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DocInit">
    <w:name w:val="Doc Init"/>
    <w:basedOn w:val="DefaultParagraphFont"/>
    <w:qFormat/>
    <w:rPr/>
  </w:style>
  <w:style w:type="character" w:styleId="TechInit">
    <w:name w:val="Tech Init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Technical2">
    <w:name w:val="Technical 2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Technical3">
    <w:name w:val="Technical 3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Technical1">
    <w:name w:val="Technical 1"/>
    <w:basedOn w:val="DefaultParagraphFont"/>
    <w:qFormat/>
    <w:rPr>
      <w:rFonts w:ascii="Courier;Courier New" w:hAnsi="Courier;Courier New" w:cs="Courier;Courier New"/>
      <w:sz w:val="24"/>
      <w:lang w:val="en-US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RightPar1">
    <w:name w:val="Right Par 1"/>
    <w:qFormat/>
    <w:pPr>
      <w:widowControl/>
      <w:tabs>
        <w:tab w:val="left" w:pos="-720" w:leader="none"/>
        <w:tab w:val="left" w:pos="0" w:leader="none"/>
        <w:tab w:val="decimal" w:pos="720" w:leader="none"/>
      </w:tabs>
      <w:suppressAutoHyphens w:val="true"/>
      <w:bidi w:val="0"/>
      <w:ind w:hanging="432" w:start="72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2">
    <w:name w:val="Right Par 2"/>
    <w:qFormat/>
    <w:pPr>
      <w:widowControl/>
      <w:tabs>
        <w:tab w:val="left" w:pos="-720" w:leader="none"/>
        <w:tab w:val="left" w:pos="0" w:leader="none"/>
        <w:tab w:val="left" w:pos="720" w:leader="none"/>
        <w:tab w:val="decimal" w:pos="1440" w:leader="none"/>
      </w:tabs>
      <w:suppressAutoHyphens w:val="true"/>
      <w:bidi w:val="0"/>
      <w:ind w:hanging="432" w:start="144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3">
    <w:name w:val="Right Par 3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decimal" w:pos="2160" w:leader="none"/>
      </w:tabs>
      <w:suppressAutoHyphens w:val="true"/>
      <w:bidi w:val="0"/>
      <w:ind w:hanging="432" w:start="216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4">
    <w:name w:val="Right Par 4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decimal" w:pos="2880" w:leader="none"/>
      </w:tabs>
      <w:suppressAutoHyphens w:val="true"/>
      <w:bidi w:val="0"/>
      <w:ind w:hanging="432" w:start="288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5">
    <w:name w:val="Right Par 5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decimal" w:pos="3600" w:leader="none"/>
      </w:tabs>
      <w:suppressAutoHyphens w:val="true"/>
      <w:bidi w:val="0"/>
      <w:ind w:hanging="576" w:start="360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6">
    <w:name w:val="Right Par 6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decimal" w:pos="4320" w:leader="none"/>
      </w:tabs>
      <w:suppressAutoHyphens w:val="true"/>
      <w:bidi w:val="0"/>
      <w:ind w:hanging="576" w:start="432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7">
    <w:name w:val="Right Par 7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decimal" w:pos="5040" w:leader="none"/>
      </w:tabs>
      <w:suppressAutoHyphens w:val="true"/>
      <w:bidi w:val="0"/>
      <w:ind w:hanging="432" w:start="504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RightPar8">
    <w:name w:val="Right Par 8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decimal" w:pos="5760" w:leader="none"/>
      </w:tabs>
      <w:suppressAutoHyphens w:val="true"/>
      <w:bidi w:val="0"/>
      <w:ind w:hanging="432" w:start="5760" w:end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Document1">
    <w:name w:val="Document 1"/>
    <w:qFormat/>
    <w:pPr>
      <w:keepNext w:val="true"/>
      <w:keepLines/>
      <w:widowControl/>
      <w:tabs>
        <w:tab w:val="clear" w:pos="720"/>
        <w:tab w:val="left" w:pos="-720" w:leader="none"/>
      </w:tabs>
      <w:suppressAutoHyphens w:val="true"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Technical5">
    <w:name w:val="Technical 5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;Courier New" w:hAnsi="Courier;Courier New" w:eastAsia="Times New Roman" w:cs="Courier;Courier New"/>
      <w:b/>
      <w:color w:val="auto"/>
      <w:sz w:val="24"/>
      <w:szCs w:val="20"/>
      <w:lang w:val="en-US" w:bidi="ar-SA" w:eastAsia="zh-CN"/>
    </w:rPr>
  </w:style>
  <w:style w:type="paragraph" w:styleId="Technical6">
    <w:name w:val="Technical 6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;Courier New" w:hAnsi="Courier;Courier New" w:eastAsia="Times New Roman" w:cs="Courier;Courier New"/>
      <w:b/>
      <w:color w:val="auto"/>
      <w:sz w:val="24"/>
      <w:szCs w:val="20"/>
      <w:lang w:val="en-US" w:bidi="ar-SA" w:eastAsia="zh-CN"/>
    </w:rPr>
  </w:style>
  <w:style w:type="paragraph" w:styleId="Technical4">
    <w:name w:val="Technical 4"/>
    <w:qFormat/>
    <w:pPr>
      <w:widowControl/>
      <w:tabs>
        <w:tab w:val="clear" w:pos="720"/>
        <w:tab w:val="left" w:pos="-720" w:leader="none"/>
      </w:tabs>
      <w:suppressAutoHyphens w:val="true"/>
      <w:bidi w:val="0"/>
    </w:pPr>
    <w:rPr>
      <w:rFonts w:ascii="Courier;Courier New" w:hAnsi="Courier;Courier New" w:eastAsia="Times New Roman" w:cs="Courier;Courier New"/>
      <w:b/>
      <w:color w:val="auto"/>
      <w:sz w:val="24"/>
      <w:szCs w:val="20"/>
      <w:lang w:val="en-US" w:bidi="ar-SA" w:eastAsia="zh-CN"/>
    </w:rPr>
  </w:style>
  <w:style w:type="paragraph" w:styleId="Technical7">
    <w:name w:val="Technical 7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;Courier New" w:hAnsi="Courier;Courier New" w:eastAsia="Times New Roman" w:cs="Courier;Courier New"/>
      <w:b/>
      <w:color w:val="auto"/>
      <w:sz w:val="24"/>
      <w:szCs w:val="20"/>
      <w:lang w:val="en-US" w:bidi="ar-SA" w:eastAsia="zh-CN"/>
    </w:rPr>
  </w:style>
  <w:style w:type="paragraph" w:styleId="Technical8">
    <w:name w:val="Technical 8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;Courier New" w:hAnsi="Courier;Courier New" w:eastAsia="Times New Roman" w:cs="Courier;Courier New"/>
      <w:b/>
      <w:color w:val="auto"/>
      <w:sz w:val="24"/>
      <w:szCs w:val="20"/>
      <w:lang w:val="en-US" w:bidi="ar-SA" w:eastAsia="zh-CN"/>
    </w:rPr>
  </w:style>
  <w:style w:type="paragraph" w:styleId="Pleading">
    <w:name w:val="Pleading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24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2001-10-01T18:18:00Z</dcterms:created>
  <dc:creator>Elizabeth Sutton</dc:creator>
  <dc:description/>
  <dc:language>en-CA</dc:language>
  <cp:lastModifiedBy>esutto1</cp:lastModifiedBy>
  <cp:lastPrinted>2001-10-04T10:39:00Z</cp:lastPrinted>
  <dcterms:modified xsi:type="dcterms:W3CDTF">2001-10-05T18:30:00Z</dcterms:modified>
  <cp:revision>9</cp:revision>
  <dc:subject/>
  <dc:title>	ELIZABETH A. SUTTON</dc:title>
</cp:coreProperties>
</file>