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widowControl/>
        <w:bidi w:val="0"/>
        <w:spacing w:lineRule="atLeast" w:line="600" w:before="140" w:after="540"/>
        <w:ind w:hanging="0" w:start="840" w:end="0"/>
        <w:rPr/>
      </w:pPr>
      <w:bookmarkStart w:id="0" w:name="xgraphic"/>
      <w:bookmarkEnd w:id="0"/>
      <w:r>
        <mc:AlternateContent>
          <mc:Choice Requires="wpg">
            <w:drawing>
              <wp:anchor behindDoc="1" distT="0" distB="0" distL="114935" distR="114935" simplePos="0" locked="0" layoutInCell="0" allowOverlap="1" relativeHeight="3">
                <wp:simplePos x="0" y="0"/>
                <wp:positionH relativeFrom="page">
                  <wp:posOffset>458470</wp:posOffset>
                </wp:positionH>
                <wp:positionV relativeFrom="page">
                  <wp:posOffset>4114800</wp:posOffset>
                </wp:positionV>
                <wp:extent cx="1859280" cy="1859280"/>
                <wp:effectExtent l="0" t="0" r="635" b="635"/>
                <wp:wrapNone/>
                <wp:docPr id="1" name=""/>
                <a:graphic xmlns:a="http://schemas.openxmlformats.org/drawingml/2006/main">
                  <a:graphicData uri="http://schemas.microsoft.com/office/word/2010/wordprocessingGroup">
                    <wpg:wgp>
                      <wpg:cNvGrpSpPr/>
                      <wpg:grpSpPr>
                        <a:xfrm>
                          <a:off x="0" y="0"/>
                          <a:ext cx="1859400" cy="1859400"/>
                          <a:chOff x="0" y="0"/>
                          <a:chExt cx="1859400" cy="1859400"/>
                        </a:xfrm>
                      </wpg:grpSpPr>
                      <wps:wsp>
                        <wps:cNvPr id="2" name=""/>
                        <wps:cNvSpPr/>
                        <wps:spPr>
                          <a:xfrm>
                            <a:off x="0" y="0"/>
                            <a:ext cx="1859400" cy="1859400"/>
                          </a:xfrm>
                          <a:prstGeom prst="ellipse">
                            <a:avLst/>
                          </a:prstGeom>
                          <a:solidFill>
                            <a:srgbClr val="f2f2f2"/>
                          </a:solidFill>
                          <a:ln w="0">
                            <a:noFill/>
                          </a:ln>
                        </wps:spPr>
                        <wps:style>
                          <a:lnRef idx="0"/>
                          <a:fillRef idx="0"/>
                          <a:effectRef idx="0"/>
                          <a:fontRef idx="minor"/>
                        </wps:style>
                        <wps:bodyPr/>
                      </wps:wsp>
                      <wps:wsp>
                        <wps:cNvPr id="3" name=""/>
                        <wps:cNvSpPr/>
                        <wps:spPr>
                          <a:xfrm>
                            <a:off x="617760" y="0"/>
                            <a:ext cx="597600" cy="185940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36.1pt;margin-top:324pt;width:146.4pt;height:146.4pt" coordorigin="722,6480" coordsize="2928,2928">
                <v:oval id="shape_0" fillcolor="#f2f2f2" stroked="f" o:allowincell="f" style="position:absolute;left:722;top:6480;width:2927;height:2927;mso-wrap-style:none;v-text-anchor:middle;mso-position-horizontal-relative:page;mso-position-vertical-relative:page">
                  <v:fill o:detectmouseclick="t" type="solid" color2="#0d0d0d"/>
                  <v:stroke color="#3465a4" joinstyle="round" endcap="flat"/>
                  <w10:wrap type="none"/>
                </v:oval>
                <v:rect id="shape_0" fillcolor="white" stroked="f" o:allowincell="f" style="position:absolute;left:1695;top:6480;width:940;height:2927;mso-wrap-style:none;v-text-anchor:middle;mso-position-horizontal-relative:page;mso-position-vertical-relative:page">
                  <v:fill o:detectmouseclick="t" type="solid" color2="black"/>
                  <v:stroke color="#3465a4" joinstyle="round" endcap="flat"/>
                  <w10:wrap type="none"/>
                </v:rect>
              </v:group>
            </w:pict>
          </mc:Fallback>
        </mc:AlternateContent>
        <mc:AlternateContent>
          <mc:Choice Requires="wps">
            <w:drawing>
              <wp:anchor behindDoc="1" distT="0" distB="0" distL="114935" distR="114935" simplePos="0" locked="0" layoutInCell="0" allowOverlap="1" relativeHeight="4">
                <wp:simplePos x="0" y="0"/>
                <wp:positionH relativeFrom="page">
                  <wp:posOffset>1695450</wp:posOffset>
                </wp:positionH>
                <wp:positionV relativeFrom="page">
                  <wp:posOffset>457200</wp:posOffset>
                </wp:positionV>
                <wp:extent cx="34925" cy="762000"/>
                <wp:effectExtent l="2540" t="1905" r="1270" b="1905"/>
                <wp:wrapNone/>
                <wp:docPr id="4" name=""/>
                <a:graphic xmlns:a="http://schemas.openxmlformats.org/drawingml/2006/main">
                  <a:graphicData uri="http://schemas.microsoft.com/office/word/2010/wordprocessingShape">
                    <wps:wsp>
                      <wps:cNvSpPr/>
                      <wps:spPr>
                        <a:xfrm>
                          <a:off x="0" y="0"/>
                          <a:ext cx="34920" cy="762120"/>
                        </a:xfrm>
                        <a:prstGeom prst="rect">
                          <a:avLst/>
                        </a:prstGeom>
                        <a:solidFill>
                          <a:srgbClr val="dfdfdf"/>
                        </a:solidFill>
                        <a:ln w="3240">
                          <a:solidFill>
                            <a:srgbClr val="ffffff"/>
                          </a:solidFill>
                          <a:miter/>
                        </a:ln>
                      </wps:spPr>
                      <wps:style>
                        <a:lnRef idx="0"/>
                        <a:fillRef idx="0"/>
                        <a:effectRef idx="0"/>
                        <a:fontRef idx="minor"/>
                      </wps:style>
                      <wps:bodyPr/>
                    </wps:wsp>
                  </a:graphicData>
                </a:graphic>
              </wp:anchor>
            </w:drawing>
          </mc:Choice>
          <mc:Fallback>
            <w:pict>
              <v:rect id="shape_0" fillcolor="#dfdfdf" stroked="t" o:allowincell="f" style="position:absolute;margin-left:133.5pt;margin-top:36pt;width:2.7pt;height:59.95pt;mso-wrap-style:none;v-text-anchor:middle;mso-position-horizontal-relative:page;mso-position-vertical-relative:page">
                <v:fill o:detectmouseclick="t" type="solid" color2="#202020"/>
                <v:stroke color="white" weight="3240" joinstyle="miter" endcap="flat"/>
                <w10:wrap type="none"/>
              </v:rect>
            </w:pict>
          </mc:Fallback>
        </mc:AlternateContent>
        <mc:AlternateContent>
          <mc:Choice Requires="wps">
            <w:drawing>
              <wp:anchor behindDoc="1" distT="0" distB="0" distL="114935" distR="114935" simplePos="0" locked="0" layoutInCell="0" allowOverlap="1" relativeHeight="5">
                <wp:simplePos x="0" y="0"/>
                <wp:positionH relativeFrom="page">
                  <wp:posOffset>5486400</wp:posOffset>
                </wp:positionH>
                <wp:positionV relativeFrom="page">
                  <wp:posOffset>1463040</wp:posOffset>
                </wp:positionV>
                <wp:extent cx="1676400" cy="34925"/>
                <wp:effectExtent l="1905" t="2540" r="1905" b="1270"/>
                <wp:wrapNone/>
                <wp:docPr id="5" name=""/>
                <a:graphic xmlns:a="http://schemas.openxmlformats.org/drawingml/2006/main">
                  <a:graphicData uri="http://schemas.microsoft.com/office/word/2010/wordprocessingShape">
                    <wps:wsp>
                      <wps:cNvSpPr/>
                      <wps:spPr>
                        <a:xfrm>
                          <a:off x="0" y="0"/>
                          <a:ext cx="1676520" cy="34920"/>
                        </a:xfrm>
                        <a:prstGeom prst="rect">
                          <a:avLst/>
                        </a:prstGeom>
                        <a:solidFill>
                          <a:srgbClr val="dfdfdf"/>
                        </a:solidFill>
                        <a:ln w="3240">
                          <a:solidFill>
                            <a:srgbClr val="ffffff"/>
                          </a:solidFill>
                          <a:miter/>
                        </a:ln>
                      </wps:spPr>
                      <wps:style>
                        <a:lnRef idx="0"/>
                        <a:fillRef idx="0"/>
                        <a:effectRef idx="0"/>
                        <a:fontRef idx="minor"/>
                      </wps:style>
                      <wps:bodyPr/>
                    </wps:wsp>
                  </a:graphicData>
                </a:graphic>
              </wp:anchor>
            </w:drawing>
          </mc:Choice>
          <mc:Fallback>
            <w:pict>
              <v:rect id="shape_0" fillcolor="#dfdfdf" stroked="t" o:allowincell="f" style="position:absolute;margin-left:432pt;margin-top:115.2pt;width:131.95pt;height:2.7pt;mso-wrap-style:none;v-text-anchor:middle;mso-position-horizontal-relative:page;mso-position-vertical-relative:page">
                <v:fill o:detectmouseclick="t" type="solid" color2="#202020"/>
                <v:stroke color="white" weight="3240" joinstyle="miter" endcap="flat"/>
                <w10:wrap type="none"/>
              </v:rect>
            </w:pict>
          </mc:Fallback>
        </mc:AlternateContent>
      </w:r>
      <w:r>
        <w:rPr/>
        <w:t>Memorandum</w:t>
      </w:r>
    </w:p>
    <w:p>
      <w:pPr>
        <w:pStyle w:val="MessageHeaderFirst"/>
        <w:rPr/>
      </w:pPr>
      <w:r>
        <w:rPr>
          <w:rStyle w:val="MessageHeaderLabel"/>
          <w:spacing w:val="-20"/>
        </w:rPr>
        <w:t>T</w:t>
      </w:r>
      <w:r>
        <w:rPr>
          <w:rStyle w:val="MessageHeaderLabel"/>
        </w:rPr>
        <w:t>o:</w:t>
      </w:r>
      <w:r>
        <w:rPr/>
        <w:tab/>
        <w:t>Scott Bolton</w:t>
      </w:r>
    </w:p>
    <w:p>
      <w:pPr>
        <w:pStyle w:val="MessageHeader"/>
        <w:rPr/>
      </w:pPr>
      <w:r>
        <w:rPr>
          <w:rStyle w:val="MessageHeaderLabel"/>
          <w:spacing w:val="-20"/>
        </w:rPr>
        <w:t>From:</w:t>
      </w:r>
      <w:r>
        <w:rPr/>
        <w:tab/>
        <w:t>Tracy Cooper</w:t>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r>
      <w:r>
        <w:rPr/>
        <w:tab/>
        <w:t xml:space="preserve">Research on Time Warner Cable/AOL and Earthlink </w:t>
      </w:r>
    </w:p>
    <w:p>
      <w:pPr>
        <w:pStyle w:val="BodyText"/>
        <w:rPr/>
      </w:pPr>
      <w:r>
        <w:rPr>
          <w:u w:val="single"/>
        </w:rPr>
        <w:t>ISSUE</w:t>
      </w:r>
      <w:r>
        <w:rPr/>
        <w:t>:</w:t>
      </w:r>
    </w:p>
    <w:p>
      <w:pPr>
        <w:pStyle w:val="BodyText"/>
        <w:rPr/>
      </w:pPr>
      <w:r>
        <w:rPr/>
        <w:t xml:space="preserve">Time Warner  Cable (“TW”), a Time Warner Inc (parent company of Fortune’s publisher) company serves 12.6 million cable customers, AOL is the largest internet provider and Earthlink is the second largest ISP provider with 4.6 million customers.  As part of the merger approval process, the FTC has asked TW and AOL to sign an open access agreement with a competing Internet service provider such as Earthlink or Microsoft before the merger will be approved.   Currently, TW/AOL are finalizing a deal with Earthlink.  </w:t>
      </w:r>
    </w:p>
    <w:p>
      <w:pPr>
        <w:pStyle w:val="BodyText"/>
        <w:rPr/>
      </w:pPr>
      <w:r>
        <w:rPr/>
        <w:t>Most of the pre-merger specifics are not available for public consumption.  After several futile attempts at gathering information (such as length of agreement between TW/AOL and Earthlink and the specific conditions in the agreement with Earthlink) from legal staff at the FTC, the only information I was able to obtain was the new deadline which is  December 14</w:t>
      </w:r>
      <w:r>
        <w:rPr>
          <w:vertAlign w:val="superscript"/>
        </w:rPr>
        <w:t>th</w:t>
      </w:r>
      <w:r>
        <w:rPr/>
        <w:t>.   Staffers at the FTC said all of the information, such as the merger specifics would be made available on December 14</w:t>
      </w:r>
      <w:r>
        <w:rPr>
          <w:vertAlign w:val="superscript"/>
        </w:rPr>
        <w:t>th</w:t>
      </w:r>
      <w:r>
        <w:rPr/>
        <w:t>.  Melia Etts, a lawyer with the FTC said that the deadline could be extended to the beginning of the year, and that the DOJ deferred their jurisdiction in this matter to the FTC (DOJ and FTC have concurrent jurisdiction) so it is up to the FTC to decide if the deal with Earthlink will be satisfactory to fulfill the requirements of the merger process.</w:t>
      </w:r>
    </w:p>
    <w:p>
      <w:pPr>
        <w:pStyle w:val="BodyText"/>
        <w:ind w:hanging="90" w:start="810" w:end="-360"/>
        <w:rPr/>
      </w:pPr>
      <w:r>
        <w:rPr/>
        <w:t xml:space="preserve">  </w:t>
      </w:r>
      <w:r>
        <w:rPr>
          <w:u w:val="single"/>
        </w:rPr>
        <w:t>CONDITIONS TO BE MET FOR TW/AOL/EARTHLINK DEAL</w:t>
      </w:r>
    </w:p>
    <w:p>
      <w:pPr>
        <w:pStyle w:val="BodyText"/>
        <w:ind w:hanging="90" w:start="810" w:end="-360"/>
        <w:rPr/>
      </w:pPr>
      <w:r>
        <w:rPr/>
        <w:t xml:space="preserve">  </w:t>
      </w:r>
      <w:r>
        <w:rPr/>
        <w:t>A few of the conditions that TW would have to comply with should the Earthlink deal be signed are the following:  (1) Earthlink would get access to TW’s high speed cable lines; (2) Earthlink would have access to the cable links through other devices including set top boxes being developed for interactive television (previously TW said that no competitors would get access to set top boxes); (3) Earthlink would be able to buy wholesale access to TW cable systems which would enable it to market its high speed service to customers; and (4) Earthlink would serve as an alternative Internet service on TW’s cable system.</w:t>
      </w:r>
    </w:p>
    <w:p>
      <w:pPr>
        <w:pStyle w:val="BodyText"/>
        <w:ind w:hanging="90" w:start="810" w:end="-360"/>
        <w:rPr/>
      </w:pPr>
      <w:r>
        <w:rPr/>
        <w:t xml:space="preserve"> </w:t>
      </w:r>
      <w:r>
        <w:rPr>
          <w:u w:val="single"/>
        </w:rPr>
        <w:t>CONCLUSION</w:t>
      </w:r>
      <w:r>
        <w:rPr/>
        <w:t>:</w:t>
      </w:r>
    </w:p>
    <w:p>
      <w:pPr>
        <w:pStyle w:val="BodyText"/>
        <w:ind w:hanging="90" w:start="810" w:end="-360"/>
        <w:rPr/>
      </w:pPr>
      <w:r>
        <w:rPr/>
        <w:t xml:space="preserve">  </w:t>
      </w:r>
      <w:r>
        <w:rPr/>
        <w:t xml:space="preserve">The end result of this merger would be that it would accelerate the spread of high speed services by reducing the costs for consumers who want to subscribe to independent Internet services on cable lines.  Under this agreement, Earthlink’s full package of high speed Internet access, content, applications, functionality, including videostreaming will be made available to approximately 20 million homes.  </w:t>
      </w:r>
    </w:p>
    <w:p>
      <w:pPr>
        <w:pStyle w:val="BodyText"/>
        <w:ind w:hanging="90" w:start="810" w:end="-360"/>
        <w:rPr/>
      </w:pPr>
      <w:r>
        <w:rPr/>
        <w:t xml:space="preserve"> </w:t>
      </w:r>
      <w:r>
        <w:rPr/>
        <w:t>After the deadline (Dec. 14</w:t>
      </w:r>
      <w:r>
        <w:rPr>
          <w:vertAlign w:val="superscript"/>
        </w:rPr>
        <w:t>th</w:t>
      </w:r>
      <w:r>
        <w:rPr/>
        <w:t>)  the FTC will review the proposal and they will either agree to a consent agreement or they may initiate competitor’s complaints to seek an injunction against the merger.</w:t>
      </w:r>
    </w:p>
    <w:p>
      <w:pPr>
        <w:pStyle w:val="BodyText"/>
        <w:ind w:hanging="90" w:start="810" w:end="-360"/>
        <w:rPr/>
      </w:pPr>
      <w:r>
        <w:rPr/>
        <w:t xml:space="preserve">    </w:t>
      </w:r>
    </w:p>
    <w:p>
      <w:pPr>
        <w:pStyle w:val="BodyText"/>
        <w:ind w:start="0" w:end="-360"/>
        <w:rPr/>
      </w:pPr>
      <w:r>
        <w:rPr/>
      </w:r>
    </w:p>
    <w:p>
      <w:pPr>
        <w:pStyle w:val="BodyText"/>
        <w:rPr/>
      </w:pPr>
      <w:r>
        <w:rPr/>
      </w:r>
    </w:p>
    <w:p>
      <w:pPr>
        <w:pStyle w:val="BodyText"/>
        <w:ind w:start="0" w:end="-360"/>
        <w:rPr/>
      </w:pPr>
      <w:r>
        <w:rPr/>
        <w:tab/>
        <w:t xml:space="preserve">  </w:t>
      </w:r>
    </w:p>
    <w:p>
      <w:pPr>
        <w:pStyle w:val="BodyText"/>
        <w:ind w:start="0" w:end="-360"/>
        <w:rPr/>
      </w:pPr>
      <w:r>
        <w:rPr/>
        <w:tab/>
      </w:r>
    </w:p>
    <w:p>
      <w:pPr>
        <w:pStyle w:val="BodyText"/>
        <w:rPr/>
      </w:pPr>
      <w:r>
        <w:rPr/>
      </w:r>
    </w:p>
    <w:p>
      <w:pPr>
        <w:pStyle w:val="BodyText"/>
        <w:spacing w:before="0" w:after="220"/>
        <w:ind w:start="0" w:end="-360"/>
        <w:rPr/>
      </w:pPr>
      <w:r>
        <w:rPr/>
      </w:r>
    </w:p>
    <w:sectPr>
      <w:headerReference w:type="default" r:id="rId2"/>
      <w:headerReference w:type="first" r:id="rId3"/>
      <w:footerReference w:type="default" r:id="rId4"/>
      <w:footerReference w:type="first" r:id="rId5"/>
      <w:type w:val="nextPage"/>
      <w:pgSz w:w="12240" w:h="15840"/>
      <w:pgMar w:left="1800" w:right="1800" w:gutter="0" w:header="965" w:top="1685"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tab/>
    </w:r>
    <w:r>
      <w:rPr/>
      <w:fldChar w:fldCharType="begin"/>
    </w:r>
    <w:r>
      <w:rPr/>
      <w:instrText xml:space="preserve"> PAGE \* ARABIC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mc:AlternateContent>
        <mc:Choice Requires="wps">
          <w:drawing>
            <wp:anchor behindDoc="1" distT="0" distB="0" distL="114935" distR="114300" simplePos="0" locked="0" layoutInCell="0" allowOverlap="1" relativeHeight="2">
              <wp:simplePos x="0" y="0"/>
              <wp:positionH relativeFrom="page">
                <wp:posOffset>457200</wp:posOffset>
              </wp:positionH>
              <wp:positionV relativeFrom="paragraph">
                <wp:posOffset>635</wp:posOffset>
              </wp:positionV>
              <wp:extent cx="3502025" cy="609600"/>
              <wp:effectExtent l="635" t="0" r="0" b="0"/>
              <wp:wrapNone/>
              <wp:docPr id="6" name=""/>
              <a:graphic xmlns:a="http://schemas.openxmlformats.org/drawingml/2006/main">
                <a:graphicData uri="http://schemas.microsoft.com/office/word/2010/wordprocessingShape">
                  <wps:wsp>
                    <wps:cNvSpPr/>
                    <wps:spPr>
                      <a:xfrm>
                        <a:off x="0" y="0"/>
                        <a:ext cx="3502080" cy="609480"/>
                      </a:xfrm>
                      <a:prstGeom prst="rect">
                        <a:avLst/>
                      </a:prstGeom>
                      <a:solidFill>
                        <a:srgbClr val="dfdfdf"/>
                      </a:solidFill>
                      <a:ln w="0">
                        <a:noFill/>
                      </a:ln>
                    </wps:spPr>
                    <wps:style>
                      <a:lnRef idx="0"/>
                      <a:fillRef idx="0"/>
                      <a:effectRef idx="0"/>
                      <a:fontRef idx="minor"/>
                    </wps:style>
                    <wps:bodyPr/>
                  </wps:wsp>
                </a:graphicData>
              </a:graphic>
            </wp:anchor>
          </w:drawing>
        </mc:Choice>
        <mc:Fallback>
          <w:pict>
            <v:rect id="shape_0" fillcolor="#dfdfdf" stroked="f" o:allowincell="f" style="position:absolute;margin-left:36pt;margin-top:0pt;width:275.7pt;height:47.95pt;mso-wrap-style:none;v-text-anchor:middle;mso-position-horizontal-relative:page">
              <v:fill o:detectmouseclick="t" type="solid" color2="#202020"/>
              <v:stroke color="#3465a4" joinstyle="round" endcap="flat"/>
              <w10:wrap type="none"/>
            </v:rect>
          </w:pict>
        </mc:Fallback>
      </mc:AlternateContent>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40" w:end="-3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ind w:hanging="0" w:start="840" w:end="-36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ind w:hanging="0" w:start="840" w:end="-36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ind w:hanging="0" w:start="840" w:end="-36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ind w:hanging="0" w:start="840" w:end="-36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360"/>
      <w:outlineLvl w:val="4"/>
    </w:pPr>
    <w:rPr>
      <w:i/>
      <w:spacing w:val="-2"/>
      <w:kern w:val="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84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ind w:hanging="0" w:start="840" w:end="-360"/>
    </w:pPr>
    <w:rPr/>
  </w:style>
  <w:style w:type="paragraph" w:styleId="CompanyName">
    <w:name w:val="Company Name"/>
    <w:basedOn w:val="Normal"/>
    <w:qFormat/>
    <w:pPr>
      <w:keepLines/>
      <w:spacing w:lineRule="atLeast" w:line="200"/>
      <w:ind w:hanging="0" w:start="840" w:end="-120"/>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36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36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40"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FFFFFF"/>
      <w:spacing w:val="20"/>
      <w:sz w:val="48"/>
      <w:vertAlign w:val="superscript"/>
    </w:rPr>
  </w:style>
  <w:style w:type="paragraph" w:styleId="HeaderLeft">
    <w:name w:val="Header Left"/>
    <w:basedOn w:val="Header"/>
    <w:qFormat/>
    <w:pPr>
      <w:suppressLineNumbers/>
      <w:tabs>
        <w:tab w:val="clear" w:pos="-1080"/>
        <w:tab w:val="clear" w:pos="948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Contemporary 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2000-11-28T19:34:00Z</dcterms:created>
  <dc:creator>Tracy J. McLaughlin</dc:creator>
  <dc:description/>
  <dc:language>en-CA</dc:language>
  <cp:lastModifiedBy>scott_bolton</cp:lastModifiedBy>
  <cp:lastPrinted>2000-11-28T09:27:00Z</cp:lastPrinted>
  <dcterms:modified xsi:type="dcterms:W3CDTF">2000-11-28T19:34:00Z</dcterms:modified>
  <cp:revision>2</cp:revision>
  <dc:subject/>
  <dc:title>Memo</dc:title>
</cp:coreProperties>
</file>