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b/>
        </w:rPr>
      </w:pPr>
      <w:r>
        <w:rPr>
          <w:b/>
        </w:rPr>
        <w:t>eTransMart Frequently Asked Questions (FAQs)</w:t>
      </w:r>
    </w:p>
    <w:p>
      <w:pPr>
        <w:pStyle w:val="Normal"/>
        <w:rPr>
          <w:b/>
        </w:rPr>
      </w:pPr>
      <w:r>
        <w:rPr>
          <w:b/>
        </w:rPr>
      </w:r>
    </w:p>
    <w:p>
      <w:pPr>
        <w:pStyle w:val="Normal"/>
        <w:rPr>
          <w:b/>
          <w:color w:val="000080"/>
        </w:rPr>
      </w:pPr>
      <w:r>
        <w:rPr>
          <w:b/>
          <w:color w:val="000080"/>
        </w:rPr>
        <w:t>What is eTransMart™?</w:t>
      </w:r>
    </w:p>
    <w:p>
      <w:pPr>
        <w:pStyle w:val="Normal"/>
        <w:rPr>
          <w:b/>
          <w:color w:val="000080"/>
        </w:rPr>
      </w:pPr>
      <w:r>
        <w:rPr>
          <w:b/>
          <w:color w:val="000080"/>
        </w:rPr>
      </w:r>
    </w:p>
    <w:p>
      <w:pPr>
        <w:pStyle w:val="Normal"/>
        <w:rPr/>
      </w:pPr>
      <w:r>
        <w:rPr/>
        <w:t>eTransMart™ is a comprehensive, integrated suite of advanced technological solutions which facilitates implementation of a FERC Order 2000 compliant Regional Transmission Organization (RTO).</w:t>
      </w:r>
    </w:p>
    <w:p>
      <w:pPr>
        <w:pStyle w:val="Normal"/>
        <w:rPr/>
      </w:pPr>
      <w:r>
        <w:rPr/>
      </w:r>
    </w:p>
    <w:p>
      <w:pPr>
        <w:pStyle w:val="Normal"/>
        <w:rPr>
          <w:b/>
          <w:color w:val="000080"/>
        </w:rPr>
      </w:pPr>
      <w:r>
        <w:rPr>
          <w:b/>
          <w:color w:val="000080"/>
        </w:rPr>
        <w:t>What are the major elements of the eTransMart™ solution?</w:t>
      </w:r>
    </w:p>
    <w:p>
      <w:pPr>
        <w:pStyle w:val="Normal"/>
        <w:rPr>
          <w:b/>
          <w:color w:val="000080"/>
        </w:rPr>
      </w:pPr>
      <w:r>
        <w:rPr>
          <w:b/>
          <w:color w:val="000080"/>
        </w:rPr>
      </w:r>
    </w:p>
    <w:p>
      <w:pPr>
        <w:pStyle w:val="Normal"/>
        <w:numPr>
          <w:ilvl w:val="0"/>
          <w:numId w:val="1"/>
        </w:numPr>
        <w:rPr/>
      </w:pPr>
      <w:r>
        <w:rPr/>
        <w:t>eTransMart™ is made up of these two major components:</w:t>
      </w:r>
    </w:p>
    <w:p>
      <w:pPr>
        <w:pStyle w:val="Normal"/>
        <w:numPr>
          <w:ilvl w:val="0"/>
          <w:numId w:val="1"/>
        </w:numPr>
        <w:rPr/>
      </w:pPr>
      <w:r>
        <w:rPr/>
        <w:t>RTO functions</w:t>
      </w:r>
    </w:p>
    <w:p>
      <w:pPr>
        <w:pStyle w:val="Normal"/>
        <w:numPr>
          <w:ilvl w:val="0"/>
          <w:numId w:val="1"/>
        </w:numPr>
        <w:tabs>
          <w:tab w:val="left" w:pos="720" w:leader="none"/>
        </w:tabs>
        <w:ind w:hanging="360" w:start="720" w:end="0"/>
        <w:rPr/>
      </w:pPr>
      <w:r>
        <w:rPr/>
        <w:t>The Independent Market Manager (IMM)</w:t>
      </w:r>
    </w:p>
    <w:p>
      <w:pPr>
        <w:pStyle w:val="Normal"/>
        <w:numPr>
          <w:ilvl w:val="0"/>
          <w:numId w:val="1"/>
        </w:numPr>
        <w:tabs>
          <w:tab w:val="clear" w:pos="720"/>
          <w:tab w:val="left" w:pos="1080" w:leader="none"/>
        </w:tabs>
        <w:ind w:hanging="360" w:start="1080" w:end="0"/>
        <w:rPr>
          <w:color w:val="000000"/>
          <w:lang w:eastAsia="en-US"/>
        </w:rPr>
      </w:pPr>
      <w:r>
        <w:rPr>
          <w:color w:val="000000"/>
          <w:lang w:eastAsia="en-US"/>
        </w:rPr>
        <w:t>Primary Rights Auctions</w:t>
      </w:r>
    </w:p>
    <w:p>
      <w:pPr>
        <w:pStyle w:val="Normal"/>
        <w:numPr>
          <w:ilvl w:val="0"/>
          <w:numId w:val="1"/>
        </w:numPr>
        <w:tabs>
          <w:tab w:val="clear" w:pos="720"/>
          <w:tab w:val="left" w:pos="1080" w:leader="none"/>
        </w:tabs>
        <w:ind w:hanging="360" w:start="1080" w:end="0"/>
        <w:rPr>
          <w:color w:val="000000"/>
          <w:lang w:eastAsia="en-US"/>
        </w:rPr>
      </w:pPr>
      <w:r>
        <w:rPr>
          <w:color w:val="000000"/>
          <w:lang w:eastAsia="en-US"/>
        </w:rPr>
        <w:t>Rights Registry</w:t>
      </w:r>
    </w:p>
    <w:p>
      <w:pPr>
        <w:pStyle w:val="Normal"/>
        <w:numPr>
          <w:ilvl w:val="0"/>
          <w:numId w:val="1"/>
        </w:numPr>
        <w:tabs>
          <w:tab w:val="clear" w:pos="720"/>
          <w:tab w:val="left" w:pos="1080" w:leader="none"/>
        </w:tabs>
        <w:ind w:hanging="360" w:start="1080" w:end="0"/>
        <w:rPr>
          <w:color w:val="000000"/>
          <w:lang w:eastAsia="en-US"/>
        </w:rPr>
      </w:pPr>
      <w:r>
        <w:rPr>
          <w:color w:val="000000"/>
          <w:lang w:eastAsia="en-US"/>
        </w:rPr>
        <w:t>Schedule/Bid Management</w:t>
      </w:r>
    </w:p>
    <w:p>
      <w:pPr>
        <w:pStyle w:val="Normal"/>
        <w:numPr>
          <w:ilvl w:val="0"/>
          <w:numId w:val="1"/>
        </w:numPr>
        <w:tabs>
          <w:tab w:val="clear" w:pos="720"/>
          <w:tab w:val="left" w:pos="1080" w:leader="none"/>
        </w:tabs>
        <w:ind w:hanging="360" w:start="1080" w:end="0"/>
        <w:rPr>
          <w:color w:val="000000"/>
          <w:lang w:eastAsia="en-US"/>
        </w:rPr>
      </w:pPr>
      <w:r>
        <w:rPr>
          <w:color w:val="000000"/>
          <w:lang w:eastAsia="en-US"/>
        </w:rPr>
        <w:t>Ancillary Services Markets</w:t>
      </w:r>
    </w:p>
    <w:p>
      <w:pPr>
        <w:pStyle w:val="Normal"/>
        <w:numPr>
          <w:ilvl w:val="0"/>
          <w:numId w:val="1"/>
        </w:numPr>
        <w:tabs>
          <w:tab w:val="clear" w:pos="720"/>
          <w:tab w:val="left" w:pos="1080" w:leader="none"/>
        </w:tabs>
        <w:ind w:hanging="360" w:start="1080" w:end="0"/>
        <w:rPr/>
      </w:pPr>
      <w:r>
        <w:rPr>
          <w:color w:val="000000"/>
          <w:lang w:eastAsia="en-US"/>
        </w:rPr>
        <w:t>Energy Imbalance Market.</w:t>
      </w:r>
    </w:p>
    <w:p>
      <w:pPr>
        <w:pStyle w:val="Normal"/>
        <w:numPr>
          <w:ilvl w:val="0"/>
          <w:numId w:val="1"/>
        </w:numPr>
        <w:tabs>
          <w:tab w:val="clear" w:pos="720"/>
          <w:tab w:val="left" w:pos="1080" w:leader="none"/>
        </w:tabs>
        <w:ind w:hanging="360" w:start="1080" w:end="0"/>
        <w:rPr/>
      </w:pPr>
      <w:r>
        <w:rPr>
          <w:color w:val="000000"/>
          <w:lang w:eastAsia="en-US"/>
        </w:rPr>
        <w:t>FG Shadow &amp; Locational Price calculation for settlement (ex-post)</w:t>
      </w:r>
    </w:p>
    <w:p>
      <w:pPr>
        <w:pStyle w:val="Normal"/>
        <w:numPr>
          <w:ilvl w:val="0"/>
          <w:numId w:val="1"/>
        </w:numPr>
        <w:tabs>
          <w:tab w:val="left" w:pos="720" w:leader="none"/>
        </w:tabs>
        <w:ind w:hanging="360" w:start="720" w:end="0"/>
        <w:rPr/>
      </w:pPr>
      <w:r>
        <w:rPr/>
        <w:t>The Grid Operator (GO)</w:t>
      </w:r>
    </w:p>
    <w:p>
      <w:pPr>
        <w:pStyle w:val="Normal"/>
        <w:numPr>
          <w:ilvl w:val="0"/>
          <w:numId w:val="1"/>
        </w:numPr>
        <w:tabs>
          <w:tab w:val="clear" w:pos="720"/>
          <w:tab w:val="left" w:pos="1080" w:leader="none"/>
        </w:tabs>
        <w:ind w:hanging="360" w:start="1080" w:end="0"/>
        <w:rPr>
          <w:color w:val="000000"/>
          <w:lang w:eastAsia="en-US"/>
        </w:rPr>
      </w:pPr>
      <w:r>
        <w:rPr>
          <w:color w:val="000000"/>
          <w:lang w:eastAsia="en-US"/>
        </w:rPr>
        <w:t>System Security</w:t>
      </w:r>
    </w:p>
    <w:p>
      <w:pPr>
        <w:pStyle w:val="Normal"/>
        <w:numPr>
          <w:ilvl w:val="0"/>
          <w:numId w:val="1"/>
        </w:numPr>
        <w:tabs>
          <w:tab w:val="clear" w:pos="720"/>
          <w:tab w:val="left" w:pos="1080" w:leader="none"/>
        </w:tabs>
        <w:ind w:hanging="360" w:start="1080" w:end="0"/>
        <w:rPr>
          <w:color w:val="000000"/>
          <w:lang w:eastAsia="en-US"/>
        </w:rPr>
      </w:pPr>
      <w:r>
        <w:rPr>
          <w:color w:val="000000"/>
          <w:lang w:eastAsia="en-US"/>
        </w:rPr>
        <w:t xml:space="preserve">Define Rights and capability </w:t>
      </w:r>
    </w:p>
    <w:p>
      <w:pPr>
        <w:pStyle w:val="Normal"/>
        <w:numPr>
          <w:ilvl w:val="0"/>
          <w:numId w:val="1"/>
        </w:numPr>
        <w:tabs>
          <w:tab w:val="clear" w:pos="720"/>
          <w:tab w:val="left" w:pos="1080" w:leader="none"/>
        </w:tabs>
        <w:ind w:hanging="360" w:start="1080" w:end="0"/>
        <w:rPr>
          <w:color w:val="000000"/>
          <w:lang w:eastAsia="en-US"/>
        </w:rPr>
      </w:pPr>
      <w:r>
        <w:rPr>
          <w:color w:val="000000"/>
          <w:lang w:eastAsia="en-US"/>
        </w:rPr>
        <w:t>Operate Physical System</w:t>
      </w:r>
    </w:p>
    <w:p>
      <w:pPr>
        <w:pStyle w:val="Normal"/>
        <w:numPr>
          <w:ilvl w:val="0"/>
          <w:numId w:val="1"/>
        </w:numPr>
        <w:tabs>
          <w:tab w:val="clear" w:pos="720"/>
          <w:tab w:val="left" w:pos="1080" w:leader="none"/>
        </w:tabs>
        <w:ind w:hanging="360" w:start="1080" w:end="0"/>
        <w:rPr>
          <w:color w:val="000000"/>
          <w:lang w:eastAsia="en-US"/>
        </w:rPr>
      </w:pPr>
      <w:r>
        <w:rPr>
          <w:color w:val="000000"/>
          <w:lang w:eastAsia="en-US"/>
        </w:rPr>
        <w:t>Operating Plan Development</w:t>
      </w:r>
    </w:p>
    <w:p>
      <w:pPr>
        <w:pStyle w:val="Normal"/>
        <w:numPr>
          <w:ilvl w:val="0"/>
          <w:numId w:val="1"/>
        </w:numPr>
        <w:tabs>
          <w:tab w:val="clear" w:pos="720"/>
          <w:tab w:val="left" w:pos="1080" w:leader="none"/>
        </w:tabs>
        <w:ind w:hanging="360" w:start="1080" w:end="0"/>
        <w:rPr>
          <w:color w:val="000000"/>
          <w:lang w:eastAsia="en-US"/>
        </w:rPr>
      </w:pPr>
      <w:r>
        <w:rPr>
          <w:color w:val="000000"/>
          <w:lang w:eastAsia="en-US"/>
        </w:rPr>
        <w:t>Real-Time Dispatch/Balancing</w:t>
      </w:r>
    </w:p>
    <w:p>
      <w:pPr>
        <w:pStyle w:val="Normal"/>
        <w:numPr>
          <w:ilvl w:val="0"/>
          <w:numId w:val="1"/>
        </w:numPr>
        <w:tabs>
          <w:tab w:val="clear" w:pos="720"/>
          <w:tab w:val="left" w:pos="1080" w:leader="none"/>
        </w:tabs>
        <w:ind w:hanging="360" w:start="1080" w:end="0"/>
        <w:rPr>
          <w:color w:val="000000"/>
          <w:lang w:eastAsia="en-US"/>
        </w:rPr>
      </w:pPr>
      <w:r>
        <w:rPr>
          <w:color w:val="000000"/>
          <w:lang w:eastAsia="en-US"/>
        </w:rPr>
        <w:t>Incremental Re-dispatch</w:t>
      </w:r>
    </w:p>
    <w:p>
      <w:pPr>
        <w:pStyle w:val="Normal"/>
        <w:numPr>
          <w:ilvl w:val="0"/>
          <w:numId w:val="1"/>
        </w:numPr>
        <w:tabs>
          <w:tab w:val="clear" w:pos="720"/>
          <w:tab w:val="left" w:pos="1080" w:leader="none"/>
        </w:tabs>
        <w:ind w:hanging="360" w:start="1080" w:end="0"/>
        <w:rPr/>
      </w:pPr>
      <w:r>
        <w:rPr>
          <w:color w:val="000000"/>
          <w:lang w:eastAsia="en-US"/>
        </w:rPr>
        <w:t>Control Center Management</w:t>
      </w:r>
    </w:p>
    <w:p>
      <w:pPr>
        <w:pStyle w:val="Normal"/>
        <w:numPr>
          <w:ilvl w:val="0"/>
          <w:numId w:val="1"/>
        </w:numPr>
        <w:tabs>
          <w:tab w:val="left" w:pos="720" w:leader="none"/>
        </w:tabs>
        <w:ind w:hanging="360" w:start="720" w:end="0"/>
        <w:rPr/>
      </w:pPr>
      <w:r>
        <w:rPr>
          <w:color w:val="000000"/>
          <w:lang w:eastAsia="en-US"/>
        </w:rPr>
        <w:t>Transmission Exchange</w:t>
      </w:r>
    </w:p>
    <w:p>
      <w:pPr>
        <w:pStyle w:val="Normal"/>
        <w:numPr>
          <w:ilvl w:val="0"/>
          <w:numId w:val="1"/>
        </w:numPr>
        <w:tabs>
          <w:tab w:val="clear" w:pos="720"/>
          <w:tab w:val="left" w:pos="1080" w:leader="none"/>
        </w:tabs>
        <w:ind w:hanging="360" w:start="1080" w:end="0"/>
        <w:rPr>
          <w:color w:val="000000"/>
          <w:lang w:eastAsia="en-US"/>
        </w:rPr>
      </w:pPr>
      <w:r>
        <w:rPr>
          <w:color w:val="000000"/>
          <w:lang w:eastAsia="en-US"/>
        </w:rPr>
        <w:t>Secondary FG Exchange</w:t>
      </w:r>
    </w:p>
    <w:p>
      <w:pPr>
        <w:pStyle w:val="Normal"/>
        <w:numPr>
          <w:ilvl w:val="0"/>
          <w:numId w:val="1"/>
        </w:numPr>
        <w:tabs>
          <w:tab w:val="clear" w:pos="720"/>
          <w:tab w:val="left" w:pos="1080" w:leader="none"/>
        </w:tabs>
        <w:ind w:hanging="360" w:start="1080" w:end="0"/>
        <w:rPr/>
      </w:pPr>
      <w:r>
        <w:rPr>
          <w:color w:val="000000"/>
          <w:lang w:eastAsia="en-US"/>
        </w:rPr>
        <w:t>Forward Markets</w:t>
      </w:r>
    </w:p>
    <w:p>
      <w:pPr>
        <w:pStyle w:val="Normal"/>
        <w:numPr>
          <w:ilvl w:val="0"/>
          <w:numId w:val="1"/>
        </w:numPr>
        <w:tabs>
          <w:tab w:val="left" w:pos="720" w:leader="none"/>
        </w:tabs>
        <w:ind w:hanging="360" w:start="720" w:end="0"/>
        <w:rPr/>
      </w:pPr>
      <w:r>
        <w:rPr>
          <w:color w:val="000000"/>
          <w:lang w:eastAsia="en-US"/>
        </w:rPr>
        <w:t>Energy Exchange</w:t>
      </w:r>
    </w:p>
    <w:p>
      <w:pPr>
        <w:pStyle w:val="Normal"/>
        <w:numPr>
          <w:ilvl w:val="0"/>
          <w:numId w:val="1"/>
        </w:numPr>
        <w:tabs>
          <w:tab w:val="clear" w:pos="720"/>
          <w:tab w:val="left" w:pos="1080" w:leader="none"/>
        </w:tabs>
        <w:ind w:hanging="360" w:start="1080" w:end="0"/>
        <w:rPr>
          <w:color w:val="000000"/>
          <w:lang w:eastAsia="en-US"/>
        </w:rPr>
      </w:pPr>
      <w:r>
        <w:rPr>
          <w:color w:val="000000"/>
          <w:lang w:eastAsia="en-US"/>
        </w:rPr>
        <w:t>Forward Markets</w:t>
      </w:r>
    </w:p>
    <w:p>
      <w:pPr>
        <w:pStyle w:val="Normal"/>
        <w:numPr>
          <w:ilvl w:val="0"/>
          <w:numId w:val="1"/>
        </w:numPr>
        <w:tabs>
          <w:tab w:val="clear" w:pos="720"/>
          <w:tab w:val="left" w:pos="1080" w:leader="none"/>
        </w:tabs>
        <w:ind w:hanging="360" w:start="1080" w:end="0"/>
        <w:rPr>
          <w:color w:val="000000"/>
          <w:lang w:eastAsia="en-US"/>
        </w:rPr>
      </w:pPr>
      <w:r>
        <w:rPr>
          <w:color w:val="000000"/>
          <w:lang w:eastAsia="en-US"/>
        </w:rPr>
        <w:t>Auctions</w:t>
      </w:r>
    </w:p>
    <w:p>
      <w:pPr>
        <w:pStyle w:val="Normal"/>
        <w:numPr>
          <w:ilvl w:val="0"/>
          <w:numId w:val="1"/>
        </w:numPr>
        <w:tabs>
          <w:tab w:val="clear" w:pos="720"/>
          <w:tab w:val="left" w:pos="1080" w:leader="none"/>
        </w:tabs>
        <w:ind w:hanging="360" w:start="1080" w:end="0"/>
        <w:rPr/>
      </w:pPr>
      <w:r>
        <w:rPr>
          <w:color w:val="000000"/>
          <w:lang w:eastAsia="en-US"/>
        </w:rPr>
        <w:t>Continuous Trading</w:t>
      </w:r>
    </w:p>
    <w:p>
      <w:pPr>
        <w:pStyle w:val="Normal"/>
        <w:rPr/>
      </w:pPr>
      <w:r>
        <w:rPr/>
      </w:r>
    </w:p>
    <w:p>
      <w:pPr>
        <w:pStyle w:val="Normal"/>
        <w:rPr>
          <w:b/>
          <w:color w:val="000080"/>
        </w:rPr>
      </w:pPr>
      <w:r>
        <w:rPr>
          <w:b/>
          <w:color w:val="000080"/>
        </w:rPr>
        <w:t>Does a region need to accept the entire eTransMart™ solution?</w:t>
      </w:r>
    </w:p>
    <w:p>
      <w:pPr>
        <w:pStyle w:val="Normal"/>
        <w:rPr/>
      </w:pPr>
      <w:r>
        <w:rPr/>
      </w:r>
    </w:p>
    <w:p>
      <w:pPr>
        <w:pStyle w:val="Normal"/>
        <w:rPr/>
      </w:pPr>
      <w:r>
        <w:rPr/>
        <w:t>No.  One of the features eTransMart™ is its pre-designed “modularity”.  Depending upon the RTOs needs and business practices any region can select any individual segment or application to best meet its needs.  And, not only is the solution “modular”, the solution set is also designed to be “scaleable”.  The collaboration, based on their cumulative years of experience understands that “one-size” does not fit all.  The systems have been designed to quickly scaled and tuned to meet the needs of virtually any size RTO.</w:t>
      </w:r>
    </w:p>
    <w:p>
      <w:pPr>
        <w:pStyle w:val="Normal"/>
        <w:rPr/>
      </w:pPr>
      <w:r>
        <w:rPr/>
      </w:r>
    </w:p>
    <w:p>
      <w:pPr>
        <w:pStyle w:val="Normal"/>
        <w:rPr>
          <w:b/>
          <w:color w:val="000080"/>
        </w:rPr>
      </w:pPr>
      <w:r>
        <w:rPr>
          <w:b/>
          <w:color w:val="000080"/>
        </w:rPr>
        <w:t>Is the eTransMart™ solution regional business practice or congestion management specific?</w:t>
      </w:r>
    </w:p>
    <w:p>
      <w:pPr>
        <w:pStyle w:val="Normal"/>
        <w:rPr/>
      </w:pPr>
      <w:r>
        <w:rPr/>
      </w:r>
    </w:p>
    <w:p>
      <w:pPr>
        <w:pStyle w:val="Normal"/>
        <w:rPr/>
      </w:pPr>
      <w:r>
        <w:rPr/>
        <w:t>No.  The entire suite is designed to be quickly configured to any regions specific business rules or congestion management process.  Regardless of scheduling time lines, bidding practices, transmission rights or ancillary markets, the eTransMart™ solution can meet the needs of any region.</w:t>
      </w:r>
    </w:p>
    <w:p>
      <w:pPr>
        <w:pStyle w:val="Normal"/>
        <w:rPr/>
      </w:pPr>
      <w:r>
        <w:rPr/>
      </w:r>
    </w:p>
    <w:p>
      <w:pPr>
        <w:pStyle w:val="Normal"/>
        <w:rPr>
          <w:b/>
          <w:color w:val="000080"/>
        </w:rPr>
      </w:pPr>
      <w:r>
        <w:rPr>
          <w:b/>
          <w:color w:val="000080"/>
        </w:rPr>
        <w:t>Is the eTransMart™ solution platform specific?</w:t>
      </w:r>
    </w:p>
    <w:p>
      <w:pPr>
        <w:pStyle w:val="Normal"/>
        <w:rPr/>
      </w:pPr>
      <w:r>
        <w:rPr/>
      </w:r>
    </w:p>
    <w:p>
      <w:pPr>
        <w:pStyle w:val="Normal"/>
        <w:rPr/>
      </w:pPr>
      <w:r>
        <w:rPr/>
        <w:t>No.  ?</w:t>
      </w:r>
    </w:p>
    <w:p>
      <w:pPr>
        <w:pStyle w:val="Normal"/>
        <w:rPr/>
      </w:pPr>
      <w:r>
        <w:rPr/>
      </w:r>
    </w:p>
    <w:p>
      <w:pPr>
        <w:pStyle w:val="Normal"/>
        <w:rPr>
          <w:b/>
          <w:color w:val="000080"/>
        </w:rPr>
      </w:pPr>
      <w:r>
        <w:rPr>
          <w:b/>
          <w:color w:val="000080"/>
        </w:rPr>
        <w:t>Who has designed eTransMart™?</w:t>
      </w:r>
    </w:p>
    <w:p>
      <w:pPr>
        <w:pStyle w:val="Normal"/>
        <w:rPr/>
      </w:pPr>
      <w:r>
        <w:rPr/>
      </w:r>
    </w:p>
    <w:p>
      <w:pPr>
        <w:pStyle w:val="Normal"/>
        <w:rPr/>
      </w:pPr>
      <w:r>
        <w:rPr/>
        <w:t>A collaboration of solutions provider whose accomplishments include implementation of energy management systems and advanced applications on a global scale.  Continuous operations of one of the largest energy exchange markets in North America and the world.</w:t>
      </w:r>
    </w:p>
    <w:p>
      <w:pPr>
        <w:pStyle w:val="Normal"/>
        <w:rPr/>
      </w:pPr>
      <w:r>
        <w:rPr/>
      </w:r>
    </w:p>
    <w:p>
      <w:pPr>
        <w:pStyle w:val="Normal"/>
        <w:rPr/>
      </w:pPr>
      <w:r>
        <w:rPr/>
        <w:tab/>
      </w:r>
      <w:r>
        <w:rPr>
          <w:b/>
          <w:i/>
        </w:rPr>
        <w:t>Alstom ESCA’s accomplishments include</w:t>
      </w:r>
      <w:r>
        <w:rPr/>
        <w:t>:</w:t>
      </w:r>
    </w:p>
    <w:p>
      <w:pPr>
        <w:pStyle w:val="Normal"/>
        <w:rPr/>
      </w:pPr>
      <w:r>
        <w:rPr/>
      </w:r>
    </w:p>
    <w:p>
      <w:pPr>
        <w:pStyle w:val="Normal"/>
        <w:rPr/>
      </w:pPr>
      <w:r>
        <w:rPr/>
        <w:tab/>
      </w:r>
      <w:r>
        <w:rPr>
          <w:b/>
          <w:i/>
        </w:rPr>
        <w:t>Automated Power Exchange</w:t>
      </w:r>
      <w:r>
        <w:rPr/>
        <w:t xml:space="preserve"> has implemented a continuously operating energy exchange featuring a wide range of physical and financial energy products.</w:t>
      </w:r>
    </w:p>
    <w:p>
      <w:pPr>
        <w:pStyle w:val="Normal"/>
        <w:rPr/>
      </w:pPr>
      <w:r>
        <w:rPr/>
      </w:r>
    </w:p>
    <w:p>
      <w:pPr>
        <w:pStyle w:val="Normal"/>
        <w:rPr/>
      </w:pPr>
      <w:r>
        <w:rPr/>
        <w:tab/>
      </w:r>
      <w:r>
        <w:rPr>
          <w:b/>
          <w:i/>
        </w:rPr>
        <w:t>California Power Exchange</w:t>
      </w:r>
      <w:r>
        <w:rPr/>
        <w:t xml:space="preserve"> has…</w:t>
      </w:r>
    </w:p>
    <w:p>
      <w:pPr>
        <w:pStyle w:val="Normal"/>
        <w:rPr/>
      </w:pPr>
      <w:r>
        <w:rPr/>
      </w:r>
    </w:p>
    <w:p>
      <w:pPr>
        <w:pStyle w:val="BodyText"/>
        <w:rPr/>
      </w:pPr>
      <w:r>
        <w:rPr/>
        <w:t>What are some of the other benefits that can be gained by procuring an eTransMart™ solution?</w:t>
      </w:r>
    </w:p>
    <w:p>
      <w:pPr>
        <w:pStyle w:val="Normal"/>
        <w:rPr/>
      </w:pPr>
      <w:r>
        <w:rPr/>
      </w:r>
    </w:p>
    <w:p>
      <w:pPr>
        <w:pStyle w:val="Normal"/>
        <w:rPr/>
      </w:pPr>
      <w:r>
        <w:rPr/>
        <w:t>In todays world of evolving regulation and mandated mission critical time line implementation, the eTransMart™ solution offers a compliant, efficient, low risk, cost effective implementation that can be delivered on-time and within budget.  How can this be done?  The experience that the collaborative has gained over the last four years of implementing comparable systems is unsurpassed.  The eTransMart™ collaborative has a record and customer satisfaction rating unequaled by any other supplier of systems and services.</w:t>
      </w:r>
    </w:p>
    <w:p>
      <w:pPr>
        <w:pStyle w:val="Normal"/>
        <w:rPr/>
      </w:pPr>
      <w:r>
        <w:rPr/>
      </w:r>
    </w:p>
    <w:p>
      <w:pPr>
        <w:pStyle w:val="Normal"/>
        <w:rPr>
          <w:b/>
          <w:color w:val="000080"/>
        </w:rPr>
      </w:pPr>
      <w:r>
        <w:rPr>
          <w:b/>
          <w:color w:val="000080"/>
        </w:rPr>
        <w:t>Who are some of the customers  of the eTransMart™ collaborative?</w:t>
      </w:r>
    </w:p>
    <w:p>
      <w:pPr>
        <w:pStyle w:val="Normal"/>
        <w:rPr>
          <w:b/>
          <w:color w:val="000080"/>
        </w:rPr>
      </w:pPr>
      <w:r>
        <w:rPr>
          <w:b/>
          <w:color w:val="000080"/>
        </w:rPr>
      </w:r>
    </w:p>
    <w:p>
      <w:pPr>
        <w:pStyle w:val="Normal"/>
        <w:rPr/>
      </w:pPr>
      <w:r>
        <w:rPr/>
        <w:tab/>
      </w:r>
      <w:r>
        <w:rPr>
          <w:b/>
          <w:i/>
        </w:rPr>
        <w:t>Alstom ESCA’s</w:t>
      </w:r>
    </w:p>
    <w:p>
      <w:pPr>
        <w:pStyle w:val="Normal"/>
        <w:ind w:start="720" w:end="0"/>
        <w:rPr/>
      </w:pPr>
      <w:r>
        <w:rPr>
          <w:b/>
          <w:i/>
        </w:rPr>
        <w:tab/>
      </w:r>
      <w:r>
        <w:rPr/>
        <w:t>Midwest Independent System Operator</w:t>
      </w:r>
    </w:p>
    <w:p>
      <w:pPr>
        <w:pStyle w:val="Normal"/>
        <w:ind w:start="720" w:end="0"/>
        <w:rPr/>
      </w:pPr>
      <w:r>
        <w:rPr/>
        <w:tab/>
        <w:t>PJM LLC</w:t>
      </w:r>
    </w:p>
    <w:p>
      <w:pPr>
        <w:pStyle w:val="Normal"/>
        <w:rPr/>
      </w:pPr>
      <w:r>
        <w:rPr/>
        <w:tab/>
        <w:tab/>
        <w:t>ISO-NE</w:t>
      </w:r>
    </w:p>
    <w:p>
      <w:pPr>
        <w:pStyle w:val="Normal"/>
        <w:rPr/>
      </w:pPr>
      <w:r>
        <w:rPr/>
        <w:tab/>
      </w:r>
      <w:r>
        <w:rPr>
          <w:b/>
          <w:i/>
        </w:rPr>
        <w:t>Automated Power Exchange</w:t>
      </w:r>
    </w:p>
    <w:p>
      <w:pPr>
        <w:pStyle w:val="Normal"/>
        <w:rPr/>
      </w:pPr>
      <w:r>
        <w:rPr>
          <w:b/>
          <w:i/>
        </w:rPr>
        <w:tab/>
        <w:tab/>
      </w:r>
      <w:r>
        <w:rPr/>
        <w:t>Calpine Power Services</w:t>
      </w:r>
    </w:p>
    <w:p>
      <w:pPr>
        <w:pStyle w:val="Normal"/>
        <w:rPr/>
      </w:pPr>
      <w:r>
        <w:rPr/>
        <w:tab/>
        <w:tab/>
        <w:t>Enron Wind Development</w:t>
      </w:r>
    </w:p>
    <w:p>
      <w:pPr>
        <w:pStyle w:val="Normal"/>
        <w:rPr/>
      </w:pPr>
      <w:r>
        <w:rPr/>
        <w:tab/>
        <w:tab/>
        <w:t>Dynegy Marketing and Trade</w:t>
      </w:r>
    </w:p>
    <w:p>
      <w:pPr>
        <w:pStyle w:val="Normal"/>
        <w:rPr/>
      </w:pPr>
      <w:r>
        <w:rPr/>
        <w:tab/>
      </w:r>
      <w:r>
        <w:rPr>
          <w:b/>
          <w:i/>
        </w:rPr>
        <w:t>California Power Exchange</w:t>
      </w:r>
    </w:p>
    <w:p>
      <w:pPr>
        <w:pStyle w:val="Normal"/>
        <w:rPr/>
      </w:pPr>
      <w:r>
        <w:rPr>
          <w:b/>
          <w:i/>
        </w:rPr>
        <w:tab/>
        <w:tab/>
      </w:r>
      <w:r>
        <w:rPr/>
        <w:t>Southern California Edison</w:t>
      </w:r>
    </w:p>
    <w:p>
      <w:pPr>
        <w:pStyle w:val="Normal"/>
        <w:rPr/>
      </w:pPr>
      <w:r>
        <w:rPr/>
        <w:tab/>
        <w:tab/>
        <w:t>Pacific Gas and Electric</w:t>
      </w:r>
    </w:p>
    <w:p>
      <w:pPr>
        <w:pStyle w:val="Normal"/>
        <w:rPr/>
      </w:pPr>
      <w:r>
        <w:rPr/>
        <w:tab/>
        <w:tab/>
        <w:t>Bonneville Power Authority</w:t>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360"/>
        </w:tabs>
        <w:ind w:start="360" w:hanging="360"/>
      </w:pPr>
      <w:rPr>
        <w:rFonts w:ascii="Symbol" w:hAnsi="Symbol" w:cs="Symbol" w:hint="default"/>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4"/>
      <w:szCs w:val="20"/>
      <w:lang w:val="en-US" w:eastAsia="zh-CN" w:bidi="hi-IN"/>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St2z0">
    <w:name w:val="WW8NumSt2z0"/>
    <w:qFormat/>
    <w:rPr>
      <w:rFonts w:ascii="Times New Roman" w:hAnsi="Times New Roman" w:cs="Times New Roman"/>
      <w:sz w:val="20"/>
    </w:rPr>
  </w:style>
  <w:style w:type="character" w:styleId="WW8NumSt5z0">
    <w:name w:val="WW8NumSt5z0"/>
    <w:qFormat/>
    <w:rPr>
      <w:rFonts w:ascii="Times New Roman" w:hAnsi="Times New Roman" w:cs="Times New Roman"/>
      <w:sz w:val="18"/>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b/>
      <w:color w:val="00008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61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2000-11-08T15:35:00Z</dcterms:created>
  <dc:creator>Dave Perrino</dc:creator>
  <dc:description/>
  <dc:language>en-CA</dc:language>
  <cp:lastModifiedBy>Dave Perrino</cp:lastModifiedBy>
  <dcterms:modified xsi:type="dcterms:W3CDTF">2000-11-08T16:40:00Z</dcterms:modified>
  <cp:revision>5</cp:revision>
  <dc:subject/>
  <dc:title>eTransMart Frequently Asked Questions (FAQs)</dc:title>
</cp:coreProperties>
</file>