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JAGUAR PROJECT OUTLINE</w:t>
      </w:r>
    </w:p>
    <w:p>
      <w:pPr>
        <w:pStyle w:val="Normal"/>
        <w:rPr/>
      </w:pPr>
      <w:r>
        <w:rPr/>
      </w:r>
    </w:p>
    <w:p>
      <w:pPr>
        <w:pStyle w:val="Normal"/>
        <w:rPr>
          <w:i/>
          <w:i/>
        </w:rPr>
      </w:pPr>
      <w:r>
        <w:rPr>
          <w:i/>
        </w:rPr>
        <w:t>This outline shall form the basis upon which the relevant parties shall mutually endeavor, promptly and in good faith, to consummate the project along the lines described below and it is not intended to, and shall not, create any binding commitment by, or right in favor of, any party with respect to the project.  No offer or binding obligation upon any party shall be implied or exist with respect to the project unless and until definitive transaction documents have been executed and delivered by the parties thereto.</w:t>
      </w:r>
    </w:p>
    <w:p>
      <w:pPr>
        <w:pStyle w:val="Normal"/>
        <w:rPr/>
      </w:pPr>
      <w:r>
        <w:rPr/>
      </w:r>
    </w:p>
    <w:p>
      <w:pPr>
        <w:pStyle w:val="Normal"/>
        <w:jc w:val="both"/>
        <w:rPr/>
      </w:pPr>
      <w:r>
        <w:rPr/>
        <w:tab/>
        <w:t>Jaguar contemplates a business relationship with Lion pursuant to which they will (1) sign a Posting Agreement which will facilitate Lion's ability to submit bids, offers, and similar quotations to Jaguars marketplaces, (2) Jaguar will give Lion the opportunity to invest in a unit of Jaguar common stock and convertible preferred stock, and (3) Lion will invest in the Jaguar sponsored Energy Vertical Marketplace (“Newco”).</w:t>
      </w:r>
    </w:p>
    <w:p>
      <w:pPr>
        <w:pStyle w:val="Normal"/>
        <w:rPr/>
      </w:pPr>
      <w:r>
        <w:rPr/>
      </w:r>
    </w:p>
    <w:p>
      <w:pPr>
        <w:pStyle w:val="Heading3"/>
        <w:ind w:hanging="0" w:start="0"/>
        <w:rPr>
          <w:rFonts w:ascii="Times New Roman" w:hAnsi="Times New Roman" w:cs="Times New Roman"/>
          <w:sz w:val="20"/>
          <w:u w:val="single"/>
        </w:rPr>
      </w:pPr>
      <w:r>
        <w:rPr>
          <w:rFonts w:cs="Times New Roman" w:ascii="Times New Roman" w:hAnsi="Times New Roman"/>
          <w:sz w:val="20"/>
          <w:u w:val="single"/>
        </w:rPr>
        <w:t>Posting Agreement</w:t>
      </w:r>
    </w:p>
    <w:p>
      <w:pPr>
        <w:pStyle w:val="Normal"/>
        <w:rPr>
          <w:rFonts w:ascii="Times New Roman" w:hAnsi="Times New Roman" w:cs="Times New Roman"/>
          <w:sz w:val="20"/>
          <w:u w:val="single"/>
        </w:rPr>
      </w:pPr>
      <w:r>
        <w:rPr>
          <w:rFonts w:cs="Times New Roman"/>
          <w:sz w:val="20"/>
          <w:u w:val="single"/>
        </w:rPr>
      </w:r>
    </w:p>
    <w:p>
      <w:pPr>
        <w:pStyle w:val="Normal"/>
        <w:ind w:firstLine="720" w:end="0"/>
        <w:rPr/>
      </w:pPr>
      <w:r>
        <w:rPr/>
        <w:t>At the closing, Jaguar and Lion will enter into a “Posting Agreement” (attached under separate cover) pursuant to which Lion will agree to post prices for certain products to the Jaguar’s platform in a manner that will permit Jaguar’s customers to electronically attempt to transact, through Jaguar’s electronic trading systems but on Lion’s interface, with respect to “Subject Products” (as defined in the Posting Agreement). Jaguar and Lion will establish a system to facilitate Lion's ability to submit bids, offers, and similar quotations to Jaguars marketplaces simultaneously in one or more other electronic marketplaces, including the installation of technology, reasonably satisfactory to Lion, incorporating an accept/reject mechanism to safeguards against the acceptance on more than one electronic marketplace of the same bid/offer or similar quotation (all terms of this agreement will be defined by the Posting Agreement)</w:t>
      </w:r>
    </w:p>
    <w:p>
      <w:pPr>
        <w:pStyle w:val="Normal"/>
        <w:rPr/>
      </w:pPr>
      <w:r>
        <w:rPr/>
      </w:r>
    </w:p>
    <w:p>
      <w:pPr>
        <w:pStyle w:val="Normal"/>
        <w:jc w:val="both"/>
        <w:rPr>
          <w:b/>
          <w:u w:val="single"/>
        </w:rPr>
      </w:pPr>
      <w:r>
        <w:rPr>
          <w:b/>
          <w:u w:val="single"/>
        </w:rPr>
        <w:t>Investment Opportunity in Jaguar</w:t>
      </w:r>
    </w:p>
    <w:p>
      <w:pPr>
        <w:pStyle w:val="Normal"/>
        <w:jc w:val="both"/>
        <w:rPr/>
      </w:pPr>
      <w:r>
        <w:rPr/>
      </w:r>
    </w:p>
    <w:p>
      <w:pPr>
        <w:pStyle w:val="Normal"/>
        <w:jc w:val="both"/>
        <w:rPr/>
      </w:pPr>
      <w:r>
        <w:rPr/>
        <w:tab/>
      </w:r>
      <w:r>
        <w:rPr>
          <w:i/>
          <w:u w:val="single"/>
        </w:rPr>
        <w:t>Jaguar Common Stock</w:t>
      </w:r>
      <w:r>
        <w:rPr/>
        <w:t>.  Upon the initial closing of the investment in Jaguar (the "</w:t>
      </w:r>
      <w:r>
        <w:rPr>
          <w:u w:val="single"/>
        </w:rPr>
        <w:t>Initial Closing Date</w:t>
      </w:r>
      <w:r>
        <w:rPr/>
        <w:t>"), Lion will invest $25.0 million in Jaguar class A common stock</w:t>
      </w:r>
      <w:r>
        <w:rPr>
          <w:rStyle w:val="FootnoteReference"/>
          <w:vertAlign w:val="superscript"/>
        </w:rPr>
        <w:footnoteReference w:id="2"/>
      </w:r>
      <w:r>
        <w:rPr/>
        <w:t>.  Such shares of class A common stock will be subject to the following lock</w:t>
        <w:noBreakHyphen/>
        <w:t xml:space="preserve">up on transferability: 1/3 of the shares at the end of 6 months and 2/3 of the shares at the end of 12 months.  Lion will be entitled to those registration rights set forth on </w:t>
      </w:r>
      <w:r>
        <w:rPr>
          <w:u w:val="single"/>
        </w:rPr>
        <w:t>Schedule A</w:t>
      </w:r>
      <w:r>
        <w:rPr/>
        <w:t xml:space="preserve"> with respect to these shares. </w:t>
      </w:r>
    </w:p>
    <w:p>
      <w:pPr>
        <w:pStyle w:val="Normal"/>
        <w:jc w:val="both"/>
        <w:rPr/>
      </w:pPr>
      <w:r>
        <w:rPr/>
      </w:r>
    </w:p>
    <w:p>
      <w:pPr>
        <w:pStyle w:val="Normal"/>
        <w:jc w:val="both"/>
        <w:rPr/>
      </w:pPr>
      <w:r>
        <w:rPr>
          <w:i/>
        </w:rPr>
        <w:tab/>
      </w:r>
      <w:r>
        <w:rPr>
          <w:i/>
          <w:u w:val="single"/>
        </w:rPr>
        <w:t>Jaguar Convertible Preferred Stock</w:t>
      </w:r>
      <w:r>
        <w:rPr/>
        <w:t xml:space="preserve">.  On the Initial Closing Date, Jaguar will issue to Lion shares of Jaguar convertible preferred stock, which stock will be convertible into warrants to purchase an aggregate of up to 666,666 shares of Jaguar class A common stock upon satisfaction of the Commitment Condition (as defined below).  The exercise price of the warrants will be equal to the fair market value of the Jaguar class A common stock on the date of issuance of the convertible preferred stock.  The warrants will have a 10 year term measured from the date of issuance of the convertible preferred stock. If the Commitment Condition is not satisfied, as determined in the manner set forth below, then Jaguar shall have the right to redeem the Jaguar convertible preferred stock in exchange for the issuance of 6,666 shares of Jaguar class A common stock; provided that prior to such redemption Lion shall have the option to convert the stock into warrants to purchase an aggregate of up to 6,666 shares of Jaguar class A common stock. </w:t>
      </w:r>
    </w:p>
    <w:p>
      <w:pPr>
        <w:pStyle w:val="Normal"/>
        <w:jc w:val="both"/>
        <w:rPr/>
      </w:pPr>
      <w:r>
        <w:rPr/>
      </w:r>
    </w:p>
    <w:p>
      <w:pPr>
        <w:pStyle w:val="Normal"/>
        <w:jc w:val="both"/>
        <w:rPr/>
      </w:pPr>
      <w:r>
        <w:rPr/>
        <w:tab/>
        <w:t>The "</w:t>
      </w:r>
      <w:r>
        <w:rPr>
          <w:u w:val="single"/>
        </w:rPr>
        <w:t>Commitment Condition</w:t>
      </w:r>
      <w:r>
        <w:rPr/>
        <w:t>" shall be deemed satisfied if, during the 12</w:t>
        <w:noBreakHyphen/>
        <w:t>month period from the launch date of the Newco marketplace or such date as all logistics are worked out to enable Lion to commence submitting bids/offers and similar quotations on any Jaguar marketplace (up to 6 months from Initial Closing Date), each time that Lion submits a bid/offer or similar quotation on a product on one or more other electronic marketplaces, it (x) simultaneously submits on the Jaguar marketplace the bid/offer and similar quotation on terms which are identical to the most favorable pricing terms, including credit terms and multiple pricing terms, if applicable, that it submits on such other electronic marketplaces and (y) affords to the Jaguar marketplace parity including with respect to technology to that which is made available by Lion to any other electronic marketplace for purposes of the applicable bid/offer or similar quotation.</w:t>
      </w:r>
    </w:p>
    <w:p>
      <w:pPr>
        <w:pStyle w:val="Normal"/>
        <w:rPr/>
      </w:pPr>
      <w:r>
        <w:rPr/>
      </w:r>
    </w:p>
    <w:p>
      <w:pPr>
        <w:pStyle w:val="Normal"/>
        <w:ind w:firstLine="720" w:end="0"/>
        <w:rPr/>
      </w:pPr>
      <w:r>
        <w:rPr/>
        <w:t>Additionally, Jaguar will issue to Lion shares of Jaguar convertible preferred stock, which stock will be convertible into warrants to purchase an aggregate of up to 333,333 shares of Jaguar class A common stock upon investing in any [2] of [4] presented Jaguar hosted vertical marketplaces. If Lion does not invest in [2] additonal vertical marketplace then Jaguar shall have the right to redeem the Jaguar convertible preferred stock in exchange for the issuance of 3,333 shares of Jaguar class A common stock; provided that prior to such redemption Lion shall have the option to convert the stock into warrants to purchase an aggregate of up to 3,333 shares of Jaguar class A common stock.</w:t>
      </w:r>
    </w:p>
    <w:p>
      <w:pPr>
        <w:pStyle w:val="Normal"/>
        <w:rPr/>
      </w:pPr>
      <w:r>
        <w:rPr/>
      </w:r>
    </w:p>
    <w:p>
      <w:pPr>
        <w:pStyle w:val="Heading3"/>
        <w:ind w:hanging="0" w:start="0"/>
        <w:rPr>
          <w:rFonts w:ascii="Times New Roman" w:hAnsi="Times New Roman" w:cs="Times New Roman"/>
          <w:sz w:val="20"/>
          <w:u w:val="single"/>
        </w:rPr>
      </w:pPr>
      <w:r>
        <w:rPr>
          <w:rFonts w:cs="Times New Roman" w:ascii="Times New Roman" w:hAnsi="Times New Roman"/>
          <w:sz w:val="20"/>
          <w:u w:val="single"/>
        </w:rPr>
        <w:t>Investment in Energy Vertical Marketplace (Newco)</w:t>
      </w:r>
    </w:p>
    <w:p>
      <w:pPr>
        <w:pStyle w:val="Normal"/>
        <w:rPr>
          <w:rFonts w:ascii="Times New Roman" w:hAnsi="Times New Roman" w:cs="Times New Roman"/>
          <w:sz w:val="20"/>
          <w:u w:val="single"/>
        </w:rPr>
      </w:pPr>
      <w:r>
        <w:rPr>
          <w:rFonts w:cs="Times New Roman"/>
          <w:sz w:val="20"/>
          <w:u w:val="single"/>
        </w:rPr>
      </w:r>
    </w:p>
    <w:p>
      <w:pPr>
        <w:pStyle w:val="BodyText2"/>
        <w:ind w:firstLine="720" w:end="0"/>
        <w:rPr/>
      </w:pPr>
      <w:r>
        <w:rPr/>
        <w:t>Lion will invest in the proposed Energy Vertical Marketplace as described below.</w:t>
      </w:r>
    </w:p>
    <w:p>
      <w:pPr>
        <w:pStyle w:val="BodyText2"/>
        <w:ind w:firstLine="720" w:end="0"/>
        <w:rPr/>
      </w:pPr>
      <w:r>
        <w:rPr/>
      </w:r>
    </w:p>
    <w:p>
      <w:pPr>
        <w:pStyle w:val="Normal"/>
        <w:rPr/>
      </w:pPr>
      <w:r>
        <w:rPr/>
      </w:r>
    </w:p>
    <w:tbl>
      <w:tblPr>
        <w:tblW w:w="9198" w:type="dxa"/>
        <w:jc w:val="start"/>
        <w:tblInd w:w="0" w:type="dxa"/>
        <w:tblLayout w:type="fixed"/>
        <w:tblCellMar>
          <w:top w:w="0" w:type="dxa"/>
          <w:start w:w="108" w:type="dxa"/>
          <w:bottom w:w="0" w:type="dxa"/>
          <w:end w:w="108" w:type="dxa"/>
        </w:tblCellMar>
      </w:tblPr>
      <w:tblGrid>
        <w:gridCol w:w="1998"/>
        <w:gridCol w:w="270"/>
        <w:gridCol w:w="3330"/>
        <w:gridCol w:w="3022"/>
        <w:gridCol w:w="239"/>
        <w:gridCol w:w="339"/>
      </w:tblGrid>
      <w:tr>
        <w:trPr/>
        <w:tc>
          <w:tcPr>
            <w:tcW w:w="1998" w:type="dxa"/>
            <w:tcBorders/>
          </w:tcPr>
          <w:p>
            <w:pPr>
              <w:pStyle w:val="Normal"/>
              <w:rPr>
                <w:b/>
              </w:rPr>
            </w:pPr>
            <w:r>
              <w:rPr>
                <w:b/>
              </w:rPr>
              <w:t>Equity Structure:</w:t>
            </w:r>
          </w:p>
        </w:tc>
        <w:tc>
          <w:tcPr>
            <w:tcW w:w="7200" w:type="dxa"/>
            <w:gridSpan w:val="5"/>
            <w:tcBorders/>
          </w:tcPr>
          <w:p>
            <w:pPr>
              <w:pStyle w:val="Normal"/>
              <w:rPr/>
            </w:pPr>
            <w:r>
              <w:rPr/>
              <w:t>Lions:</w:t>
              <w:tab/>
              <w:tab/>
              <w:t>$25 million total (66.6% Equity)</w:t>
            </w:r>
          </w:p>
          <w:p>
            <w:pPr>
              <w:pStyle w:val="Normal"/>
              <w:rPr/>
            </w:pPr>
            <w:r>
              <w:rPr/>
              <w:t>Jaguar:</w:t>
              <w:tab/>
              <w:tab/>
              <w:t>$1.875 million (5% Equity)</w:t>
            </w:r>
          </w:p>
          <w:p>
            <w:pPr>
              <w:pStyle w:val="Normal"/>
              <w:rPr/>
            </w:pPr>
            <w:r>
              <w:rPr/>
              <w:t>Tiger:</w:t>
              <w:tab/>
              <w:tab/>
              <w:t>$10.625 million (28.3% Equity)</w:t>
            </w:r>
          </w:p>
          <w:p>
            <w:pPr>
              <w:pStyle w:val="Normal"/>
              <w:rPr/>
            </w:pPr>
            <w:r>
              <w:rPr/>
            </w:r>
          </w:p>
          <w:p>
            <w:pPr>
              <w:pStyle w:val="Normal"/>
              <w:rPr/>
            </w:pPr>
            <w:r>
              <w:rPr/>
              <w:t>This combined investment will be used as working capital for creating, marketing and operating Newco.</w:t>
            </w:r>
          </w:p>
          <w:p>
            <w:pPr>
              <w:pStyle w:val="Normal"/>
              <w:rPr/>
            </w:pPr>
            <w:r>
              <w:rPr/>
            </w:r>
          </w:p>
        </w:tc>
      </w:tr>
      <w:tr>
        <w:trPr/>
        <w:tc>
          <w:tcPr>
            <w:tcW w:w="1998" w:type="dxa"/>
            <w:tcBorders/>
          </w:tcPr>
          <w:p>
            <w:pPr>
              <w:pStyle w:val="Normal"/>
              <w:rPr>
                <w:b/>
              </w:rPr>
            </w:pPr>
            <w:r>
              <w:rPr>
                <w:b/>
              </w:rPr>
              <w:t>Revenue Share:</w:t>
            </w:r>
          </w:p>
        </w:tc>
        <w:tc>
          <w:tcPr>
            <w:tcW w:w="7200" w:type="dxa"/>
            <w:gridSpan w:val="5"/>
            <w:tcBorders/>
          </w:tcPr>
          <w:p>
            <w:pPr>
              <w:pStyle w:val="Normal"/>
              <w:rPr/>
            </w:pPr>
            <w:r>
              <w:rPr/>
              <w:t>Revenue share between Newco and Jaguar will be allocated according to the following schedule:</w:t>
              <w:br/>
            </w:r>
          </w:p>
          <w:p>
            <w:pPr>
              <w:pStyle w:val="Normal"/>
              <w:rPr/>
            </w:pPr>
            <w:r>
              <w:rPr>
                <w:b/>
              </w:rPr>
              <w:t>Fully-Electronic Transactions</w:t>
            </w:r>
            <w:r>
              <w:rPr/>
              <w:t xml:space="preserve"> – transactions that are electronically executed by market participants at their terminals are considered fully-electronic transactions. Newco will receive 35% and Jaguar will receive 65% of all revenues generated from such fully-electronic transactions</w:t>
            </w:r>
          </w:p>
          <w:p>
            <w:pPr>
              <w:pStyle w:val="Normal"/>
              <w:rPr/>
            </w:pPr>
            <w:r>
              <w:rPr>
                <w:b/>
              </w:rPr>
              <w:t>Non-Electronic Transactions</w:t>
            </w:r>
            <w:r>
              <w:rPr/>
              <w:t xml:space="preserve"> – as part of its full-service offering, marketplace participants will be able to effect transactions with the assistance of voice brokers &amp; terminal operators.  Newco will receive 65% and Jaguar will receive 35% of all revenues generated from such non-electronic transactions</w:t>
            </w:r>
          </w:p>
          <w:p>
            <w:pPr>
              <w:pStyle w:val="Normal"/>
              <w:rPr/>
            </w:pPr>
            <w:r>
              <w:rPr>
                <w:b/>
              </w:rPr>
              <w:t>Data Sales/Additional E-Commerce</w:t>
            </w:r>
            <w:r>
              <w:rPr/>
              <w:t xml:space="preserve"> – the data created from trading in the Newco marketplace and additional services supported by technology are anticipated to have value.  Newco will receive 65% and Jaguar will receive 35% of all revenues derived from such services</w:t>
            </w:r>
          </w:p>
          <w:p>
            <w:pPr>
              <w:pStyle w:val="Normal"/>
              <w:rPr/>
            </w:pPr>
            <w:r>
              <w:rPr>
                <w:b/>
              </w:rPr>
              <w:t xml:space="preserve">Ancillary Services </w:t>
            </w:r>
            <w:r>
              <w:rPr/>
              <w:t>– the data created from ancillary non-trading services in the Newco marketplace is anticipated to also have value.  Newco will receive 65% and Jaguar will receive 35% of all revenues from the sale of such data</w:t>
            </w:r>
          </w:p>
          <w:p>
            <w:pPr>
              <w:pStyle w:val="Normal"/>
              <w:rPr/>
            </w:pPr>
            <w:r>
              <w:rPr>
                <w:b/>
              </w:rPr>
              <w:t xml:space="preserve">Advertising Fees </w:t>
            </w:r>
            <w:r>
              <w:rPr/>
              <w:t>– fees primarily derived from the sale of highly targeted advertising space on the Newco web site.  Newco will receive 100% of all revenue derived from advertising revenue.</w:t>
            </w:r>
          </w:p>
          <w:p>
            <w:pPr>
              <w:pStyle w:val="Normal"/>
              <w:rPr/>
            </w:pPr>
            <w:r>
              <w:rPr/>
            </w:r>
          </w:p>
        </w:tc>
      </w:tr>
      <w:tr>
        <w:trPr/>
        <w:tc>
          <w:tcPr>
            <w:tcW w:w="1998" w:type="dxa"/>
            <w:tcBorders/>
          </w:tcPr>
          <w:p>
            <w:pPr>
              <w:pStyle w:val="Normal"/>
              <w:rPr>
                <w:b/>
              </w:rPr>
            </w:pPr>
            <w:r>
              <w:rPr>
                <w:b/>
              </w:rPr>
              <w:t>Monetization of Investment through Equity Participation in Jaguar:</w:t>
            </w:r>
          </w:p>
        </w:tc>
        <w:tc>
          <w:tcPr>
            <w:tcW w:w="7200" w:type="dxa"/>
            <w:gridSpan w:val="5"/>
            <w:tcBorders/>
          </w:tcPr>
          <w:p>
            <w:pPr>
              <w:pStyle w:val="Normal"/>
              <w:rPr/>
            </w:pPr>
            <w:r>
              <w:rPr/>
              <w:t>Lions will be able to participate in up to [8 million] shares of Jaguar common stock through a preferred security which is convertible into fully vested 10-year warrants which may exercise into Jaguar common stock provided annual revenue targets are met.  Warrants will be distributed according to the individual revenue contributions made to eSpeed by the Lions.  Conversion into warrants will be permitted according to the following revenue schedule</w:t>
            </w:r>
            <w:r>
              <w:rPr>
                <w:color w:val="0000FF"/>
              </w:rPr>
              <w:t>:</w:t>
            </w:r>
          </w:p>
          <w:p>
            <w:pPr>
              <w:pStyle w:val="Normal"/>
              <w:rPr>
                <w:color w:val="0000FF"/>
              </w:rPr>
            </w:pPr>
            <w:r>
              <w:rPr>
                <w:color w:val="0000FF"/>
              </w:rPr>
            </w:r>
          </w:p>
        </w:tc>
      </w:tr>
      <w:tr>
        <w:trPr/>
        <w:tc>
          <w:tcPr>
            <w:tcW w:w="1998" w:type="dxa"/>
            <w:tcBorders/>
          </w:tcPr>
          <w:p>
            <w:pPr>
              <w:pStyle w:val="Normal"/>
              <w:snapToGrid w:val="false"/>
              <w:rPr>
                <w:b/>
              </w:rPr>
            </w:pPr>
            <w:r>
              <w:rPr>
                <w:b/>
              </w:rPr>
            </w:r>
          </w:p>
        </w:tc>
        <w:tc>
          <w:tcPr>
            <w:tcW w:w="270" w:type="dxa"/>
            <w:tcBorders/>
          </w:tcPr>
          <w:p>
            <w:pPr>
              <w:pStyle w:val="Normal"/>
              <w:snapToGrid w:val="false"/>
              <w:rPr>
                <w:b/>
              </w:rPr>
            </w:pPr>
            <w:r>
              <w:rPr>
                <w:b/>
              </w:rPr>
            </w:r>
          </w:p>
        </w:tc>
        <w:tc>
          <w:tcPr>
            <w:tcW w:w="3330" w:type="dxa"/>
            <w:tcBorders>
              <w:top w:val="single" w:sz="4" w:space="0" w:color="000000"/>
              <w:start w:val="single" w:sz="4" w:space="0" w:color="000000"/>
              <w:bottom w:val="single" w:sz="4" w:space="0" w:color="000000"/>
              <w:end w:val="single" w:sz="4" w:space="0" w:color="000000"/>
            </w:tcBorders>
          </w:tcPr>
          <w:p>
            <w:pPr>
              <w:pStyle w:val="Heading2"/>
              <w:ind w:hanging="0" w:start="0"/>
              <w:rPr>
                <w:b/>
                <w:smallCaps/>
                <w:sz w:val="20"/>
              </w:rPr>
            </w:pPr>
            <w:r>
              <w:rPr>
                <w:b/>
                <w:smallCaps/>
                <w:sz w:val="20"/>
              </w:rPr>
              <w:t>Gross Annual Revs to Espeed</w:t>
            </w:r>
          </w:p>
        </w:tc>
        <w:tc>
          <w:tcPr>
            <w:tcW w:w="3022" w:type="dxa"/>
            <w:tcBorders>
              <w:top w:val="single" w:sz="4" w:space="0" w:color="000000"/>
              <w:start w:val="single" w:sz="4" w:space="0" w:color="000000"/>
              <w:bottom w:val="single" w:sz="4" w:space="0" w:color="000000"/>
              <w:end w:val="single" w:sz="4" w:space="0" w:color="000000"/>
            </w:tcBorders>
          </w:tcPr>
          <w:p>
            <w:pPr>
              <w:pStyle w:val="Normal"/>
              <w:rPr>
                <w:b/>
                <w:smallCaps/>
              </w:rPr>
            </w:pPr>
            <w:r>
              <w:rPr>
                <w:b/>
                <w:smallCaps/>
              </w:rPr>
              <w:t>Warrants Earned</w:t>
            </w:r>
          </w:p>
        </w:tc>
        <w:tc>
          <w:tcPr>
            <w:tcW w:w="239" w:type="dxa"/>
            <w:tcBorders/>
          </w:tcPr>
          <w:p>
            <w:pPr>
              <w:pStyle w:val="Normal"/>
              <w:snapToGrid w:val="false"/>
              <w:rPr>
                <w:b/>
                <w:smallCaps/>
              </w:rPr>
            </w:pPr>
            <w:r>
              <w:rPr>
                <w:b/>
                <w:smallCaps/>
              </w:rPr>
            </w:r>
          </w:p>
        </w:tc>
        <w:tc>
          <w:tcPr>
            <w:tcW w:w="339" w:type="dxa"/>
            <w:tcBorders/>
            <w:tcMar>
              <w:start w:w="0" w:type="dxa"/>
              <w:end w:w="0" w:type="dxa"/>
            </w:tcMar>
          </w:tcPr>
          <w:p>
            <w:pPr>
              <w:pStyle w:val="Normal"/>
              <w:snapToGrid w:val="false"/>
              <w:rPr/>
            </w:pPr>
            <w:r>
              <w:rPr/>
            </w:r>
          </w:p>
        </w:tc>
      </w:tr>
      <w:tr>
        <w:trPr/>
        <w:tc>
          <w:tcPr>
            <w:tcW w:w="1998" w:type="dxa"/>
            <w:tcBorders/>
          </w:tcPr>
          <w:p>
            <w:pPr>
              <w:pStyle w:val="Normal"/>
              <w:snapToGrid w:val="false"/>
              <w:rPr>
                <w:b/>
              </w:rPr>
            </w:pPr>
            <w:r>
              <w:rPr>
                <w:b/>
              </w:rPr>
            </w:r>
          </w:p>
        </w:tc>
        <w:tc>
          <w:tcPr>
            <w:tcW w:w="270" w:type="dxa"/>
            <w:tcBorders/>
          </w:tcPr>
          <w:p>
            <w:pPr>
              <w:pStyle w:val="Normal"/>
              <w:snapToGrid w:val="false"/>
              <w:rPr>
                <w:b/>
              </w:rPr>
            </w:pPr>
            <w:r>
              <w:rPr>
                <w:b/>
              </w:rPr>
            </w:r>
          </w:p>
        </w:tc>
        <w:tc>
          <w:tcPr>
            <w:tcW w:w="3330" w:type="dxa"/>
            <w:tcBorders>
              <w:top w:val="single" w:sz="4" w:space="0" w:color="000000"/>
              <w:start w:val="single" w:sz="4" w:space="0" w:color="000000"/>
              <w:bottom w:val="single" w:sz="4" w:space="0" w:color="000000"/>
              <w:end w:val="single" w:sz="4" w:space="0" w:color="000000"/>
            </w:tcBorders>
          </w:tcPr>
          <w:p>
            <w:pPr>
              <w:pStyle w:val="Heading2"/>
              <w:ind w:hanging="0" w:start="0"/>
              <w:rPr>
                <w:sz w:val="20"/>
              </w:rPr>
            </w:pPr>
            <w:r>
              <w:rPr>
                <w:sz w:val="20"/>
              </w:rPr>
              <w:t>Up to:        $50 million</w:t>
            </w:r>
          </w:p>
          <w:p>
            <w:pPr>
              <w:pStyle w:val="Normal"/>
              <w:jc w:val="end"/>
              <w:rPr/>
            </w:pPr>
            <w:r>
              <w:rPr/>
              <w:t>Up to:      $100 million</w:t>
            </w:r>
          </w:p>
          <w:p>
            <w:pPr>
              <w:pStyle w:val="Normal"/>
              <w:jc w:val="end"/>
              <w:rPr/>
            </w:pPr>
            <w:r>
              <w:rPr/>
              <w:t>Up to:      $150 million</w:t>
            </w:r>
          </w:p>
          <w:p>
            <w:pPr>
              <w:pStyle w:val="Normal"/>
              <w:jc w:val="end"/>
              <w:rPr/>
            </w:pPr>
            <w:r>
              <w:rPr/>
              <w:t>Each Additional:      $25 million</w:t>
            </w:r>
          </w:p>
        </w:tc>
        <w:tc>
          <w:tcPr>
            <w:tcW w:w="3022" w:type="dxa"/>
            <w:tcBorders>
              <w:top w:val="single" w:sz="4" w:space="0" w:color="000000"/>
              <w:start w:val="single" w:sz="4" w:space="0" w:color="000000"/>
              <w:bottom w:val="single" w:sz="4" w:space="0" w:color="000000"/>
              <w:end w:val="single" w:sz="4" w:space="0" w:color="000000"/>
            </w:tcBorders>
          </w:tcPr>
          <w:p>
            <w:pPr>
              <w:pStyle w:val="Normal"/>
              <w:rPr/>
            </w:pPr>
            <w:r>
              <w:rPr/>
              <w:t>2.0 million shares</w:t>
            </w:r>
          </w:p>
          <w:p>
            <w:pPr>
              <w:pStyle w:val="Normal"/>
              <w:rPr/>
            </w:pPr>
            <w:r>
              <w:rPr/>
              <w:t>2.0 million shares</w:t>
            </w:r>
          </w:p>
          <w:p>
            <w:pPr>
              <w:pStyle w:val="Normal"/>
              <w:rPr/>
            </w:pPr>
            <w:r>
              <w:rPr/>
              <w:t>2.0 million shares</w:t>
            </w:r>
          </w:p>
          <w:p>
            <w:pPr>
              <w:pStyle w:val="Normal"/>
              <w:rPr/>
            </w:pPr>
            <w:r>
              <w:rPr/>
              <w:t>0.5 million shares (up to [8] million)</w:t>
            </w:r>
          </w:p>
        </w:tc>
        <w:tc>
          <w:tcPr>
            <w:tcW w:w="239" w:type="dxa"/>
            <w:tcBorders/>
          </w:tcPr>
          <w:p>
            <w:pPr>
              <w:pStyle w:val="Normal"/>
              <w:snapToGrid w:val="false"/>
              <w:rPr/>
            </w:pPr>
            <w:r>
              <w:rPr/>
            </w:r>
          </w:p>
          <w:p>
            <w:pPr>
              <w:pStyle w:val="Normal"/>
              <w:rPr/>
            </w:pPr>
            <w:r>
              <w:rPr/>
            </w:r>
          </w:p>
          <w:p>
            <w:pPr>
              <w:pStyle w:val="Normal"/>
              <w:rPr/>
            </w:pPr>
            <w:r>
              <w:rPr/>
            </w:r>
          </w:p>
          <w:p>
            <w:pPr>
              <w:pStyle w:val="Normal"/>
              <w:rPr/>
            </w:pPr>
            <w:r>
              <w:rPr/>
            </w:r>
          </w:p>
        </w:tc>
        <w:tc>
          <w:tcPr>
            <w:tcW w:w="339" w:type="dxa"/>
            <w:tcBorders/>
            <w:tcMar>
              <w:start w:w="0" w:type="dxa"/>
              <w:end w:w="0" w:type="dxa"/>
            </w:tcMar>
          </w:tcPr>
          <w:p>
            <w:pPr>
              <w:pStyle w:val="Normal"/>
              <w:snapToGrid w:val="false"/>
              <w:rPr/>
            </w:pPr>
            <w:r>
              <w:rPr/>
            </w:r>
          </w:p>
        </w:tc>
      </w:tr>
      <w:tr>
        <w:trPr/>
        <w:tc>
          <w:tcPr>
            <w:tcW w:w="1998" w:type="dxa"/>
            <w:tcBorders/>
          </w:tcPr>
          <w:p>
            <w:pPr>
              <w:pStyle w:val="Normal"/>
              <w:snapToGrid w:val="false"/>
              <w:rPr>
                <w:b/>
              </w:rPr>
            </w:pPr>
            <w:r>
              <w:rPr>
                <w:b/>
              </w:rPr>
            </w:r>
          </w:p>
        </w:tc>
        <w:tc>
          <w:tcPr>
            <w:tcW w:w="7200" w:type="dxa"/>
            <w:gridSpan w:val="5"/>
            <w:tcBorders/>
          </w:tcPr>
          <w:p>
            <w:pPr>
              <w:pStyle w:val="Normal"/>
              <w:snapToGrid w:val="false"/>
              <w:rPr>
                <w:b/>
              </w:rPr>
            </w:pPr>
            <w:r>
              <w:rPr>
                <w:b/>
              </w:rPr>
            </w:r>
          </w:p>
          <w:p>
            <w:pPr>
              <w:pStyle w:val="Normal"/>
              <w:rPr/>
            </w:pPr>
            <w:r>
              <w:rPr/>
              <w:t>Investors in Newco may additionally monetize their position through an initial public offering.</w:t>
            </w:r>
          </w:p>
          <w:p>
            <w:pPr>
              <w:pStyle w:val="Normal"/>
              <w:rPr/>
            </w:pPr>
            <w:r>
              <w:rPr/>
            </w:r>
          </w:p>
        </w:tc>
      </w:tr>
    </w:tbl>
    <w:p>
      <w:pPr>
        <w:pStyle w:val="Normal"/>
        <w:rPr/>
      </w:pPr>
      <w:r>
        <w:rPr/>
        <w:tab/>
        <w:t>If Lion does not contribute revenue to Newco (eSpeed), there will be no ability to participate in the warrants granted under the preferred security.  Lion would remain an equity owner in Newco and participate in Newco’s cash flow and dividend stream as well as in an IPO.</w:t>
      </w:r>
    </w:p>
    <w:p>
      <w:pPr>
        <w:pStyle w:val="Normal"/>
        <w:rPr/>
      </w:pPr>
      <w:r>
        <w:rPr/>
      </w:r>
    </w:p>
    <w:p>
      <w:pPr>
        <w:pStyle w:val="BodyText2"/>
        <w:ind w:firstLine="720" w:end="0"/>
        <w:rPr/>
      </w:pPr>
      <w:r>
        <w:rPr>
          <w:i/>
          <w:u w:val="single"/>
        </w:rPr>
        <w:t>Additional Vertical Markets.</w:t>
      </w:r>
      <w:r>
        <w:rPr/>
        <w:t xml:space="preserve"> It is the current intention of the parties that, to the extent practicable, during the 12</w:t>
        <w:noBreakHyphen/>
        <w:t xml:space="preserve">Month Period Jaguar shall discuss and apprise Lion of, and afford Lion the opportunity to participate in, vertical opportunities hosted by Jaguar, which encompass one or more products in which Lion or an affiliate is then engaged in trading. </w:t>
      </w:r>
    </w:p>
    <w:p>
      <w:pPr>
        <w:pStyle w:val="Normal"/>
        <w:rPr/>
      </w:pPr>
      <w:r>
        <w:rPr/>
      </w:r>
    </w:p>
    <w:sectPr>
      <w:footnotePr>
        <w:numFmt w:val="decimal"/>
      </w:footnotePr>
      <w:type w:val="nextPage"/>
      <w:pgSz w:w="12240" w:h="15840"/>
      <w:pgMar w:left="1800" w:right="1440" w:gutter="0" w:header="0" w:top="1152"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jc w:val="both"/>
        <w:rPr/>
      </w:pPr>
      <w:r>
        <w:rPr>
          <w:rStyle w:val="FootnoteCharacters"/>
        </w:rPr>
        <w:footnoteRef/>
      </w:r>
      <w:r>
        <w:rPr>
          <w:sz w:val="22"/>
        </w:rPr>
        <w:t>These shares will be "restricted shares" within the meaning of Rule 144 of the rules and regulations adopted under the Securities Act of 1933, as amended.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jc w:val="end"/>
      <w:outlineLvl w:val="1"/>
    </w:pPr>
    <w:rPr>
      <w:sz w:val="24"/>
    </w:rPr>
  </w:style>
  <w:style w:type="paragraph" w:styleId="Heading3">
    <w:name w:val="heading 3"/>
    <w:basedOn w:val="Normal"/>
    <w:next w:val="Normal"/>
    <w:qFormat/>
    <w:pPr>
      <w:keepNext w:val="true"/>
      <w:numPr>
        <w:ilvl w:val="2"/>
        <w:numId w:val="1"/>
      </w:numPr>
      <w:outlineLvl w:val="2"/>
    </w:pPr>
    <w:rPr>
      <w:rFonts w:ascii="Arial" w:hAnsi="Arial" w:cs="Arial"/>
      <w:b/>
      <w:sz w:val="22"/>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FootnoteText">
    <w:name w:val="footnote text"/>
    <w:basedOn w:val="Normal"/>
    <w:pPr>
      <w:suppressLineNumbers/>
      <w:ind w:hanging="340" w:start="34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2000-07-06T13:52:00Z</dcterms:created>
  <dc:creator>CF</dc:creator>
  <dc:description/>
  <dc:language>en-CA</dc:language>
  <cp:lastModifiedBy>Jonathan Uman</cp:lastModifiedBy>
  <cp:lastPrinted>2000-06-26T18:36:00Z</cp:lastPrinted>
  <dcterms:modified xsi:type="dcterms:W3CDTF">2000-07-21T15:11:00Z</dcterms:modified>
  <cp:revision>4</cp:revision>
  <dc:subject/>
  <dc:title>Term Sheet</dc:title>
</cp:coreProperties>
</file>