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CONSENT AGREEMENT</w:t>
      </w:r>
    </w:p>
    <w:p>
      <w:pPr>
        <w:pStyle w:val="Normal"/>
        <w:jc w:val="center"/>
        <w:rPr>
          <w:b/>
          <w:bCs/>
        </w:rPr>
      </w:pPr>
      <w:r>
        <w:rPr>
          <w:b/>
          <w:bCs/>
        </w:rPr>
      </w:r>
    </w:p>
    <w:p>
      <w:pPr>
        <w:pStyle w:val="Normal"/>
        <w:jc w:val="both"/>
        <w:rPr/>
      </w:pPr>
      <w:r>
        <w:rPr/>
        <w:tab/>
        <w:t>This Consent Agreement by and between eSpeed, Inc., a Delaware corporation (the "Company"), and Enron Net Works, LLC, a Delaware limited liability company ("Subscriber"), is dated November ___, 2000.  Capitalized terms not defined herein have the meaning set forth in that certain Subscription Agreement between the Company and Subscriber dated of even date herewith (the "Subscription Agreement").</w:t>
      </w:r>
    </w:p>
    <w:p>
      <w:pPr>
        <w:pStyle w:val="Normal"/>
        <w:jc w:val="both"/>
        <w:rPr/>
      </w:pPr>
      <w:r>
        <w:rPr/>
      </w:r>
    </w:p>
    <w:p>
      <w:pPr>
        <w:pStyle w:val="Normal"/>
        <w:jc w:val="both"/>
        <w:rPr/>
      </w:pPr>
      <w:r>
        <w:rPr/>
        <w:tab/>
        <w:t xml:space="preserve">Section 5(d)(i) of the Subscription Agreement provides that the Subscriber may not, without the Company's prior written consent, among other things, directly or indirectly enter into any swap or other hedging transaction relating to the Common Shares or any interest therein for certain periods of time.  </w:t>
      </w:r>
    </w:p>
    <w:p>
      <w:pPr>
        <w:pStyle w:val="Normal"/>
        <w:jc w:val="both"/>
        <w:rPr/>
      </w:pPr>
      <w:r>
        <w:rPr/>
      </w:r>
    </w:p>
    <w:p>
      <w:pPr>
        <w:pStyle w:val="Normal"/>
        <w:ind w:firstLine="720" w:end="0"/>
        <w:jc w:val="both"/>
        <w:rPr/>
      </w:pPr>
      <w:r>
        <w:rPr/>
        <w:t>Section 5(d)(ii) of the Subscription Agreement provides that the Subscriber may not, without the Company's prior written consent, among other things, directly or indirectly enter into any swap or other hedging transaction relating to the Preferred Shares, the Warrants or the Underlying Warrant Shares or any interest therein prior to the exercise of the Warrants and the issuance of Underlying Warrant shares.</w:t>
      </w:r>
    </w:p>
    <w:p>
      <w:pPr>
        <w:pStyle w:val="Normal"/>
        <w:ind w:firstLine="720" w:end="0"/>
        <w:jc w:val="both"/>
        <w:rPr/>
      </w:pPr>
      <w:r>
        <w:rPr/>
      </w:r>
    </w:p>
    <w:p>
      <w:pPr>
        <w:pStyle w:val="Normal"/>
        <w:ind w:firstLine="720" w:end="0"/>
        <w:jc w:val="both"/>
        <w:rPr/>
      </w:pPr>
      <w:r>
        <w:rPr/>
        <w:t xml:space="preserve">From time to time, Subscriber and Enron Affiliates enter into transactions that are intended to reduce their exposure to fluctuations in the valuation of investments similar to Subscriber's proposed investment in the Common Shares, Preferred Shares, Warrants and Underlying Warrant Shares.  Subscriber has requested the Company's consent to enter into such a transaction (an "Enron Hedge") with respect to part or all of its investment in the Common Shares, the Preferred Shares, the Warrants and the Underlying Warrant Shares, subject to the conditions set forth below.  The Common Shares, Preferred Shares, Warrants and Underlying Warrant Shares that Subscriber acquires from the Company are referred to as the "Acquired Securities"; the Common Shares, Preferred Shares, Warrants and Underlying Warrant Shares that Subscriber determines to make subject to the Enron Hedge are collectively referred to herein as the "Hedged Securities". </w:t>
      </w:r>
    </w:p>
    <w:p>
      <w:pPr>
        <w:pStyle w:val="Normal"/>
        <w:ind w:firstLine="720" w:end="0"/>
        <w:jc w:val="both"/>
        <w:rPr/>
      </w:pPr>
      <w:r>
        <w:rPr/>
      </w:r>
    </w:p>
    <w:p>
      <w:pPr>
        <w:pStyle w:val="Normal"/>
        <w:ind w:firstLine="720" w:end="0"/>
        <w:jc w:val="both"/>
        <w:rPr/>
      </w:pPr>
      <w:r>
        <w:rPr/>
        <w:t>In the Enron Hedge, an Enron Affiliate will enter into a derivative transaction with a third party that is not affiliated with Enron (the parties to the derivative transaction are collectively the "Derivative Counterparties") that has the effect of transferring all or a portion of any fluctuation in value of the Hedged Securities to the third party.  The structure of the derivate transaction will vary from time to time, depending upon, among other things, the nature of the Hedged Securities and the terms and conditions that the Derivate Counterparties may negotiate at the time the Enron Hedge is negotiated.</w:t>
      </w:r>
    </w:p>
    <w:p>
      <w:pPr>
        <w:pStyle w:val="Normal"/>
        <w:ind w:firstLine="720" w:end="0"/>
        <w:jc w:val="both"/>
        <w:rPr/>
      </w:pPr>
      <w:r>
        <w:rPr/>
      </w:r>
    </w:p>
    <w:p>
      <w:pPr>
        <w:pStyle w:val="Normal"/>
        <w:ind w:firstLine="720" w:end="0"/>
        <w:jc w:val="both"/>
        <w:rPr/>
      </w:pPr>
      <w:r>
        <w:rPr/>
        <w:t>In no event, however, will the Enron Hedge involve, require, or result in (and Subscriber hereby represents and warrants that the Enron Hedge will not involve, require, or result in) (i) any Transfer, directly or indirectly, of any of the Acquired Securities, Hedged Securities, or any of Subscriber's interest therein; or (ii) any other transaction (whether an offer, sale, short sale, assignment, transfer, pledge, encumbrance, contract to sell, grant of any option to purchase, or otherwise) by Subscriber, any Enron Affiliate, the Derivative Counterparties, or any other party, either directly or indirectly, in or with respect to any securities issued by the Company (including but not limited to a short sale of the Company's Common Shares).</w:t>
      </w:r>
    </w:p>
    <w:p>
      <w:pPr>
        <w:pStyle w:val="Normal"/>
        <w:ind w:firstLine="720" w:end="0"/>
        <w:jc w:val="both"/>
        <w:rPr/>
      </w:pPr>
      <w:r>
        <w:rPr/>
      </w:r>
    </w:p>
    <w:p>
      <w:pPr>
        <w:pStyle w:val="Normal"/>
        <w:ind w:firstLine="720" w:end="0"/>
        <w:jc w:val="both"/>
        <w:rPr/>
      </w:pPr>
      <w:r>
        <w:rPr/>
        <w:t>Provided that Subscriber's representations and warranties with respect to the Enron Hedge are true and correct, and that immediately prior to entering into the Enron Hedge, the Subscriber provides to the Company a certificate of a responsible officer of the Company to that effect, Company irrevocably consents to the Enron Hedge.</w:t>
      </w:r>
    </w:p>
    <w:p>
      <w:pPr>
        <w:pStyle w:val="Normal"/>
        <w:ind w:firstLine="720" w:end="0"/>
        <w:jc w:val="both"/>
        <w:rPr/>
      </w:pPr>
      <w:r>
        <w:rPr/>
      </w:r>
    </w:p>
    <w:p>
      <w:pPr>
        <w:pStyle w:val="Normal"/>
        <w:ind w:firstLine="720" w:end="0"/>
        <w:jc w:val="both"/>
        <w:rPr/>
      </w:pPr>
      <w:r>
        <w:rPr/>
      </w:r>
    </w:p>
    <w:p>
      <w:pPr>
        <w:pStyle w:val="Normal"/>
        <w:jc w:val="both"/>
        <w:rPr/>
      </w:pPr>
      <w:r>
        <w:rPr/>
        <w:t xml:space="preserve">  </w:t>
      </w:r>
    </w:p>
    <w:p>
      <w:pPr>
        <w:pStyle w:val="Normal"/>
        <w:ind w:firstLine="720" w:end="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2000-11-28T16:42:00Z</dcterms:created>
  <dc:creator>Travis McCullough</dc:creator>
  <dc:description/>
  <dc:language>en-CA</dc:language>
  <cp:lastModifiedBy>Travis McCullough</cp:lastModifiedBy>
  <dcterms:modified xsi:type="dcterms:W3CDTF">2000-11-29T00:25:00Z</dcterms:modified>
  <cp:revision>4</cp:revision>
  <dc:subject/>
  <dc:title>CONSENT AGREEMENT</dc:title>
</cp:coreProperties>
</file>