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w:t>
      </w:r>
      <w:r>
        <w:rPr>
          <w:color w:val="0000FF"/>
          <w:sz w:val="22"/>
          <w:szCs w:val="22"/>
        </w:rPr>
        <w:t>(other than weather-related options)</w:t>
      </w:r>
      <w:r>
        <w:rPr>
          <w:sz w:val="22"/>
          <w:szCs w:val="22"/>
        </w:rPr>
        <w:t xml:space="preserve">, it is a producer, processor, commercial user of, or merchant handling, the commodity subject to the Transaction or the products or byproducts thereof, and is entering into each Option Transaction solely for purposes related to its business as such; </w:t>
      </w:r>
      <w:r>
        <w:rPr>
          <w:color w:val="0000FF"/>
          <w:sz w:val="22"/>
          <w:szCs w:val="22"/>
        </w:rPr>
        <w:t>and (iii) with respect to any weather-related Transactions, it is exposed in the conduct of its business to the risk of variations in weather and is entering into such Transactions to manage or offset such risks</w:t>
      </w:r>
      <w:r>
        <w:rPr>
          <w:sz w:val="22"/>
          <w:szCs w:val="22"/>
        </w:rPr>
        <w:t>.</w:t>
      </w:r>
    </w:p>
    <w:p>
      <w:pPr>
        <w:pStyle w:val="Normal"/>
        <w:rPr>
          <w:sz w:val="22"/>
          <w:szCs w:val="22"/>
        </w:rPr>
      </w:pPr>
      <w:r>
        <w:rPr>
          <w:sz w:val="22"/>
          <w:szCs w:val="22"/>
        </w:rPr>
      </w:r>
    </w:p>
    <w:sectPr>
      <w:type w:val="nextPage"/>
      <w:pgSz w:w="12240" w:h="15840"/>
      <w:pgMar w:left="1440" w:right="1440" w:gutter="0" w:header="0" w:top="1440" w:footer="0"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2000-08-21T18:28:00Z</dcterms:created>
  <dc:creator>tjones</dc:creator>
  <dc:description/>
  <dc:language>en-CA</dc:language>
  <cp:lastModifiedBy>tjones</cp:lastModifiedBy>
  <dcterms:modified xsi:type="dcterms:W3CDTF">2000-08-21T18:33:00Z</dcterms:modified>
  <cp:revision>2</cp:revision>
  <dc:subject/>
  <dc:title>(g)</dc:title>
</cp:coreProperties>
</file>