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media/image1.png" ContentType="image/png"/>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_rels/header2.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11070" w:leader="none"/>
        </w:tabs>
        <w:spacing w:lineRule="auto" w:line="240" w:before="80" w:after="0"/>
        <w:rPr>
          <w:rFonts w:ascii="Arial" w:hAnsi="Arial" w:cs="Arial"/>
          <w:color w:val="000000"/>
          <w:sz w:val="16"/>
        </w:rPr>
      </w:pPr>
      <w:r>
        <w:rPr>
          <w:rFonts w:cs="Arial" w:ascii="Arial" w:hAnsi="Arial"/>
          <w:color w:val="000000"/>
          <w:sz w:val="16"/>
        </w:rPr>
      </w:r>
    </w:p>
    <w:p>
      <w:pPr>
        <w:pStyle w:val="Normal"/>
        <w:spacing w:lineRule="auto" w:line="240"/>
        <w:rPr>
          <w:rFonts w:ascii="Arial" w:hAnsi="Arial" w:cs="Arial"/>
          <w:color w:val="000000"/>
          <w:sz w:val="16"/>
        </w:rPr>
      </w:pPr>
      <w:r>
        <w:rPr>
          <w:rFonts w:cs="Arial" w:ascii="Arial" w:hAnsi="Arial"/>
          <w:color w:val="000000"/>
          <w:sz w:val="16"/>
        </w:rPr>
      </w:r>
    </w:p>
    <w:p>
      <w:pPr>
        <w:pStyle w:val="Normal"/>
        <w:spacing w:lineRule="auto" w:line="240"/>
        <w:rPr>
          <w:color w:val="000000"/>
        </w:rPr>
      </w:pPr>
      <w:r>
        <w:rPr>
          <w:color w:val="000000"/>
        </w:rPr>
        <w:t>May 4, 2001</w:t>
        <w:tab/>
        <w:tab/>
        <w:tab/>
        <w:tab/>
        <w:tab/>
        <w:tab/>
      </w:r>
    </w:p>
    <w:p>
      <w:pPr>
        <w:pStyle w:val="Normal"/>
        <w:tabs>
          <w:tab w:val="clear" w:pos="720"/>
          <w:tab w:val="left" w:pos="5310" w:leader="none"/>
        </w:tabs>
        <w:spacing w:lineRule="auto" w:line="240"/>
        <w:rPr>
          <w:color w:val="000000"/>
        </w:rPr>
      </w:pPr>
      <w:r>
        <w:rPr>
          <w:color w:val="000000"/>
        </w:rPr>
        <w:tab/>
      </w:r>
    </w:p>
    <w:p>
      <w:pPr>
        <w:pStyle w:val="Normal"/>
        <w:spacing w:lineRule="auto" w:line="240"/>
        <w:rPr>
          <w:color w:val="000000"/>
        </w:rPr>
      </w:pPr>
      <w:r>
        <w:rPr>
          <w:color w:val="000000"/>
        </w:rPr>
      </w:r>
    </w:p>
    <w:p>
      <w:pPr>
        <w:pStyle w:val="Normal"/>
        <w:spacing w:lineRule="auto" w:line="240"/>
        <w:rPr>
          <w:color w:val="000000"/>
        </w:rPr>
      </w:pPr>
      <w:r>
        <w:rPr>
          <w:color w:val="000000"/>
        </w:rPr>
      </w:r>
    </w:p>
    <w:p>
      <w:pPr>
        <w:pStyle w:val="Normal"/>
        <w:spacing w:lineRule="auto" w:line="240"/>
        <w:rPr>
          <w:color w:val="000000"/>
        </w:rPr>
      </w:pPr>
      <w:r>
        <w:rPr>
          <w:color w:val="000000"/>
        </w:rPr>
        <w:t>David P. Boergers</w:t>
      </w:r>
    </w:p>
    <w:p>
      <w:pPr>
        <w:pStyle w:val="Normal"/>
        <w:spacing w:lineRule="auto" w:line="240"/>
        <w:rPr>
          <w:color w:val="000000"/>
        </w:rPr>
      </w:pPr>
      <w:r>
        <w:rPr>
          <w:color w:val="000000"/>
        </w:rPr>
        <w:t>Office of the Secretary</w:t>
      </w:r>
    </w:p>
    <w:p>
      <w:pPr>
        <w:pStyle w:val="Normal"/>
        <w:spacing w:lineRule="auto" w:line="240"/>
        <w:rPr>
          <w:color w:val="000000"/>
        </w:rPr>
      </w:pPr>
      <w:r>
        <w:rPr>
          <w:color w:val="000000"/>
        </w:rPr>
        <w:t>Docket Room</w:t>
      </w:r>
    </w:p>
    <w:p>
      <w:pPr>
        <w:pStyle w:val="Normal"/>
        <w:spacing w:lineRule="auto" w:line="240"/>
        <w:rPr>
          <w:color w:val="000000"/>
        </w:rPr>
      </w:pPr>
      <w:r>
        <w:rPr>
          <w:color w:val="000000"/>
        </w:rPr>
        <w:t>Federal Energy Regulatory Commission</w:t>
      </w:r>
    </w:p>
    <w:p>
      <w:pPr>
        <w:pStyle w:val="Normal"/>
        <w:spacing w:lineRule="auto" w:line="240"/>
        <w:rPr>
          <w:color w:val="000000"/>
        </w:rPr>
      </w:pPr>
      <w:r>
        <w:rPr>
          <w:color w:val="000000"/>
        </w:rPr>
        <w:t>888 First Street, N.E., Room 1A, East</w:t>
      </w:r>
    </w:p>
    <w:p>
      <w:pPr>
        <w:pStyle w:val="Normal"/>
        <w:spacing w:lineRule="auto" w:line="240"/>
        <w:rPr>
          <w:color w:val="000000"/>
        </w:rPr>
      </w:pPr>
      <w:r>
        <w:rPr>
          <w:color w:val="000000"/>
        </w:rPr>
        <w:t>Washington, D.C.  20002</w:t>
      </w:r>
    </w:p>
    <w:p>
      <w:pPr>
        <w:pStyle w:val="Normal"/>
        <w:spacing w:lineRule="auto" w:line="240"/>
        <w:rPr>
          <w:color w:val="000000"/>
        </w:rPr>
      </w:pPr>
      <w:r>
        <w:rPr>
          <w:color w:val="000000"/>
        </w:rPr>
      </w:r>
    </w:p>
    <w:p>
      <w:pPr>
        <w:pStyle w:val="Normal"/>
        <w:spacing w:lineRule="auto" w:line="240"/>
        <w:ind w:start="432" w:end="0"/>
        <w:rPr/>
      </w:pPr>
      <w:r>
        <w:rPr>
          <w:color w:val="000000"/>
        </w:rPr>
        <w:t xml:space="preserve">Re: </w:t>
      </w:r>
      <w:r>
        <w:rPr>
          <w:b/>
          <w:color w:val="000000"/>
        </w:rPr>
        <w:t>California Cogeneration Council, et al.</w:t>
      </w:r>
      <w:r>
        <w:rPr>
          <w:color w:val="000000"/>
        </w:rPr>
        <w:t>, Docket No. EL01-64-000</w:t>
      </w:r>
    </w:p>
    <w:p>
      <w:pPr>
        <w:pStyle w:val="Normal"/>
        <w:spacing w:lineRule="auto" w:line="240"/>
        <w:ind w:start="432" w:end="0"/>
        <w:rPr/>
      </w:pPr>
      <w:r>
        <w:rPr>
          <w:color w:val="000000"/>
        </w:rPr>
        <w:tab/>
        <w:t xml:space="preserve">   </w:t>
      </w:r>
      <w:r>
        <w:rPr>
          <w:b/>
          <w:color w:val="000000"/>
        </w:rPr>
        <w:t>Tractabel Power, Inc.</w:t>
      </w:r>
      <w:r>
        <w:rPr>
          <w:color w:val="000000"/>
        </w:rPr>
        <w:t>, Docket No. EL01-67-000</w:t>
      </w:r>
    </w:p>
    <w:p>
      <w:pPr>
        <w:pStyle w:val="Normal"/>
        <w:spacing w:lineRule="auto" w:line="240"/>
        <w:ind w:start="432" w:end="0"/>
        <w:rPr/>
      </w:pPr>
      <w:r>
        <w:rPr>
          <w:b/>
          <w:color w:val="000000"/>
        </w:rPr>
        <w:tab/>
        <w:t xml:space="preserve">   Calpine Corporation</w:t>
      </w:r>
      <w:r>
        <w:rPr>
          <w:color w:val="000000"/>
        </w:rPr>
        <w:t>, Docket No. EL01-71-000</w:t>
      </w:r>
    </w:p>
    <w:p>
      <w:pPr>
        <w:pStyle w:val="Normal"/>
        <w:spacing w:lineRule="auto" w:line="240"/>
        <w:rPr>
          <w:color w:val="000000"/>
        </w:rPr>
      </w:pPr>
      <w:r>
        <w:rPr>
          <w:color w:val="000000"/>
        </w:rPr>
      </w:r>
    </w:p>
    <w:p>
      <w:pPr>
        <w:pStyle w:val="Normal"/>
        <w:spacing w:lineRule="auto" w:line="240"/>
        <w:rPr>
          <w:color w:val="000000"/>
        </w:rPr>
      </w:pPr>
      <w:r>
        <w:rPr>
          <w:color w:val="000000"/>
        </w:rPr>
        <w:t>Dear Mr. Boergers:</w:t>
      </w:r>
    </w:p>
    <w:p>
      <w:pPr>
        <w:pStyle w:val="Normal"/>
        <w:spacing w:lineRule="auto" w:line="240"/>
        <w:rPr>
          <w:color w:val="000000"/>
        </w:rPr>
      </w:pPr>
      <w:r>
        <w:rPr>
          <w:color w:val="000000"/>
        </w:rPr>
        <w:tab/>
        <w:tab/>
        <w:tab/>
        <w:tab/>
        <w:tab/>
        <w:tab/>
      </w:r>
    </w:p>
    <w:p>
      <w:pPr>
        <w:pStyle w:val="Normal"/>
        <w:spacing w:lineRule="auto" w:line="240"/>
        <w:rPr/>
      </w:pPr>
      <w:r>
        <w:rPr>
          <w:color w:val="000000"/>
        </w:rPr>
        <w:t xml:space="preserve">Enclosed for filing in the above-docketed case, please find an original electronic filing of the attached document entitled </w:t>
      </w:r>
      <w:r>
        <w:rPr>
          <w:b/>
          <w:color w:val="000000"/>
        </w:rPr>
        <w:t>“NOTICE OF INTERVENTION AND PROTEST OF THE PUBLIC UTILITIES COMMISSION OF THE STATE OF CALIFORNIA TO PETITIONS FOR ENFORCEMENT ACTION.”</w:t>
      </w:r>
    </w:p>
    <w:p>
      <w:pPr>
        <w:pStyle w:val="Normal"/>
        <w:spacing w:lineRule="auto" w:line="240"/>
        <w:rPr>
          <w:b/>
          <w:color w:val="000000"/>
        </w:rPr>
      </w:pPr>
      <w:r>
        <w:rPr>
          <w:b/>
          <w:color w:val="000000"/>
        </w:rPr>
      </w:r>
    </w:p>
    <w:p>
      <w:pPr>
        <w:pStyle w:val="Normal"/>
        <w:spacing w:lineRule="auto" w:line="240"/>
        <w:rPr>
          <w:color w:val="000000"/>
        </w:rPr>
      </w:pPr>
      <w:r>
        <w:rPr>
          <w:color w:val="000000"/>
        </w:rPr>
        <w:t>Thank you for your cooperation in this matter.</w:t>
      </w:r>
    </w:p>
    <w:p>
      <w:pPr>
        <w:pStyle w:val="Normal"/>
        <w:spacing w:lineRule="auto" w:line="240"/>
        <w:rPr>
          <w:color w:val="000000"/>
        </w:rPr>
      </w:pPr>
      <w:r>
        <w:rPr>
          <w:color w:val="000000"/>
        </w:rPr>
      </w:r>
    </w:p>
    <w:p>
      <w:pPr>
        <w:pStyle w:val="Normal"/>
        <w:spacing w:lineRule="auto" w:line="240"/>
        <w:rPr>
          <w:color w:val="000000"/>
        </w:rPr>
      </w:pPr>
      <w:r>
        <w:rPr>
          <w:color w:val="000000"/>
        </w:rPr>
        <w:t>Sincerely,</w:t>
      </w:r>
    </w:p>
    <w:p>
      <w:pPr>
        <w:pStyle w:val="Normal"/>
        <w:spacing w:lineRule="auto" w:line="240"/>
        <w:rPr>
          <w:color w:val="000000"/>
        </w:rPr>
      </w:pPr>
      <w:r>
        <w:rPr>
          <w:color w:val="000000"/>
        </w:rPr>
      </w:r>
    </w:p>
    <w:p>
      <w:pPr>
        <w:pStyle w:val="Normal"/>
        <w:spacing w:lineRule="auto" w:line="240"/>
        <w:rPr>
          <w:color w:val="000000"/>
        </w:rPr>
      </w:pPr>
      <w:r>
        <w:rPr>
          <w:rStyle w:val="LineNumber"/>
          <w:color w:val="000000"/>
          <w:sz w:val="24"/>
        </w:rPr>
        <w:t>/s/</w:t>
        <w:tab/>
        <w:t>Sean Gallagher</w:t>
      </w:r>
    </w:p>
    <w:p>
      <w:pPr>
        <w:pStyle w:val="Normal"/>
        <w:spacing w:lineRule="auto" w:line="240"/>
        <w:rPr>
          <w:color w:val="000000"/>
        </w:rPr>
      </w:pPr>
      <w:r>
        <w:rPr>
          <w:color w:val="000000"/>
        </w:rPr>
      </w:r>
    </w:p>
    <w:p>
      <w:pPr>
        <w:pStyle w:val="Normal"/>
        <w:spacing w:lineRule="auto" w:line="240"/>
        <w:rPr>
          <w:color w:val="000000"/>
        </w:rPr>
      </w:pPr>
      <w:r>
        <w:rPr>
          <w:color w:val="000000"/>
        </w:rPr>
        <w:t>Sean Gallagher</w:t>
      </w:r>
    </w:p>
    <w:p>
      <w:pPr>
        <w:pStyle w:val="Normal"/>
        <w:spacing w:lineRule="auto" w:line="240"/>
        <w:rPr>
          <w:color w:val="000000"/>
        </w:rPr>
      </w:pPr>
      <w:r>
        <w:rPr>
          <w:color w:val="000000"/>
        </w:rPr>
        <w:t>Staff Counsel</w:t>
      </w:r>
    </w:p>
    <w:p>
      <w:pPr>
        <w:pStyle w:val="Normal"/>
        <w:spacing w:lineRule="auto" w:line="240"/>
        <w:rPr>
          <w:color w:val="000000"/>
        </w:rPr>
      </w:pPr>
      <w:r>
        <w:rPr>
          <w:color w:val="000000"/>
        </w:rPr>
        <w:t>SHG:ngs</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auto" w:line="240"/>
        <w:rPr>
          <w:color w:val="000000"/>
        </w:rPr>
      </w:pPr>
      <w:r>
        <w:rPr>
          <w:color w:val="000000"/>
        </w:rPr>
      </w:r>
    </w:p>
    <w:p>
      <w:pPr>
        <w:pStyle w:val="Normal"/>
        <w:spacing w:lineRule="auto" w:line="240"/>
        <w:ind w:start="720" w:end="0"/>
        <w:jc w:val="center"/>
        <w:rPr>
          <w:color w:val="000000"/>
        </w:rPr>
      </w:pPr>
      <w:r>
        <w:rPr>
          <w:color w:val="000000"/>
        </w:rPr>
        <w:t>UNITED STATES OF AMERICA</w:t>
      </w:r>
    </w:p>
    <w:p>
      <w:pPr>
        <w:pStyle w:val="Normal"/>
        <w:spacing w:lineRule="auto" w:line="240"/>
        <w:jc w:val="center"/>
        <w:rPr>
          <w:smallCaps/>
          <w:color w:val="000000"/>
        </w:rPr>
      </w:pPr>
      <w:r>
        <w:rPr>
          <w:smallCaps/>
          <w:color w:val="000000"/>
        </w:rPr>
        <w:t>BEFORE THE</w:t>
      </w:r>
    </w:p>
    <w:p>
      <w:pPr>
        <w:pStyle w:val="Normal"/>
        <w:spacing w:lineRule="auto" w:line="240"/>
        <w:jc w:val="center"/>
        <w:rPr>
          <w:smallCaps/>
          <w:color w:val="000000"/>
        </w:rPr>
      </w:pPr>
      <w:r>
        <w:rPr>
          <w:smallCaps/>
          <w:color w:val="000000"/>
        </w:rPr>
        <w:t>FEDERAL ENERGY REGULATORY COMMISSION</w:t>
      </w:r>
    </w:p>
    <w:p>
      <w:pPr>
        <w:pStyle w:val="Normal"/>
        <w:spacing w:lineRule="auto" w:line="240"/>
        <w:jc w:val="center"/>
        <w:rPr>
          <w:smallCaps/>
          <w:color w:val="000000"/>
        </w:rPr>
      </w:pPr>
      <w:r>
        <w:rPr>
          <w:smallCaps/>
          <w:color w:val="00000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bottom w:val="single" w:sz="6" w:space="0" w:color="000000"/>
              <w:end w:val="single" w:sz="6" w:space="0" w:color="000000"/>
            </w:tcBorders>
          </w:tcPr>
          <w:p>
            <w:pPr>
              <w:pStyle w:val="Caption"/>
              <w:ind w:hanging="0" w:end="0"/>
              <w:rPr>
                <w:color w:val="000000"/>
              </w:rPr>
            </w:pPr>
            <w:r>
              <w:rPr>
                <w:color w:val="000000"/>
              </w:rPr>
              <w:t>California Cogeneration Council, et al.</w:t>
            </w:r>
          </w:p>
          <w:p>
            <w:pPr>
              <w:pStyle w:val="Caption"/>
              <w:ind w:hanging="0" w:end="0"/>
              <w:rPr>
                <w:color w:val="000000"/>
              </w:rPr>
            </w:pPr>
            <w:r>
              <w:rPr>
                <w:color w:val="000000"/>
              </w:rPr>
            </w:r>
          </w:p>
          <w:p>
            <w:pPr>
              <w:pStyle w:val="Caption"/>
              <w:ind w:hanging="0" w:end="0"/>
              <w:rPr>
                <w:color w:val="000000"/>
              </w:rPr>
            </w:pPr>
            <w:r>
              <w:rPr>
                <w:color w:val="000000"/>
              </w:rPr>
              <w:t xml:space="preserve">Tractabel Power, Inc. </w:t>
            </w:r>
          </w:p>
          <w:p>
            <w:pPr>
              <w:pStyle w:val="Caption"/>
              <w:ind w:hanging="0" w:end="0"/>
              <w:rPr>
                <w:color w:val="000000"/>
              </w:rPr>
            </w:pPr>
            <w:r>
              <w:rPr>
                <w:color w:val="000000"/>
              </w:rPr>
            </w:r>
          </w:p>
          <w:p>
            <w:pPr>
              <w:pStyle w:val="Caption"/>
              <w:ind w:hanging="0" w:end="0"/>
              <w:rPr>
                <w:color w:val="000000"/>
              </w:rPr>
            </w:pPr>
            <w:r>
              <w:rPr>
                <w:color w:val="000000"/>
              </w:rPr>
              <w:t>Calpine Corporation</w:t>
            </w:r>
          </w:p>
          <w:p>
            <w:pPr>
              <w:pStyle w:val="Caption"/>
              <w:rPr>
                <w:color w:val="000000"/>
              </w:rPr>
            </w:pPr>
            <w:r>
              <w:rPr>
                <w:color w:val="000000"/>
              </w:rPr>
            </w:r>
          </w:p>
        </w:tc>
        <w:tc>
          <w:tcPr>
            <w:tcW w:w="4788" w:type="dxa"/>
            <w:tcBorders/>
          </w:tcPr>
          <w:p>
            <w:pPr>
              <w:pStyle w:val="Caption"/>
              <w:rPr>
                <w:color w:val="000000"/>
              </w:rPr>
            </w:pPr>
            <w:r>
              <w:rPr>
                <w:color w:val="000000"/>
              </w:rPr>
              <w:t>Docket No. EL01-64-000</w:t>
            </w:r>
          </w:p>
          <w:p>
            <w:pPr>
              <w:pStyle w:val="Caption"/>
              <w:rPr>
                <w:color w:val="000000"/>
              </w:rPr>
            </w:pPr>
            <w:r>
              <w:rPr>
                <w:color w:val="000000"/>
              </w:rPr>
            </w:r>
          </w:p>
          <w:p>
            <w:pPr>
              <w:pStyle w:val="Caption"/>
              <w:rPr>
                <w:color w:val="000000"/>
              </w:rPr>
            </w:pPr>
            <w:r>
              <w:rPr>
                <w:color w:val="000000"/>
              </w:rPr>
              <w:t>Docket No. EL01-67-000</w:t>
            </w:r>
          </w:p>
          <w:p>
            <w:pPr>
              <w:pStyle w:val="Caption"/>
              <w:rPr>
                <w:color w:val="000000"/>
              </w:rPr>
            </w:pPr>
            <w:r>
              <w:rPr>
                <w:color w:val="000000"/>
              </w:rPr>
            </w:r>
          </w:p>
          <w:p>
            <w:pPr>
              <w:pStyle w:val="Caption"/>
              <w:rPr>
                <w:color w:val="000000"/>
              </w:rPr>
            </w:pPr>
            <w:r>
              <w:rPr>
                <w:color w:val="000000"/>
              </w:rPr>
              <w:t>Docket No. EL01-71-000</w:t>
            </w:r>
          </w:p>
          <w:p>
            <w:pPr>
              <w:pStyle w:val="Caption"/>
              <w:rPr>
                <w:color w:val="000000"/>
              </w:rPr>
            </w:pPr>
            <w:r>
              <w:rPr>
                <w:color w:val="000000"/>
              </w:rPr>
            </w:r>
          </w:p>
        </w:tc>
      </w:tr>
    </w:tbl>
    <w:p>
      <w:pPr>
        <w:pStyle w:val="Normal"/>
        <w:spacing w:lineRule="auto" w:line="240"/>
        <w:rPr>
          <w:color w:val="000000"/>
          <w:sz w:val="28"/>
        </w:rPr>
      </w:pPr>
      <w:r>
        <w:rPr>
          <w:color w:val="000000"/>
          <w:sz w:val="28"/>
        </w:rPr>
      </w:r>
    </w:p>
    <w:p>
      <w:pPr>
        <w:pStyle w:val="Normal"/>
        <w:spacing w:lineRule="auto" w:line="240"/>
        <w:jc w:val="center"/>
        <w:rPr>
          <w:b/>
          <w:color w:val="000000"/>
        </w:rPr>
      </w:pPr>
      <w:r>
        <w:rPr>
          <w:b/>
          <w:color w:val="000000"/>
        </w:rPr>
        <w:t xml:space="preserve">NOTICE OF INTERVENTION AND PROTEST OF THE PUBLIC </w:t>
      </w:r>
    </w:p>
    <w:p>
      <w:pPr>
        <w:pStyle w:val="Normal"/>
        <w:spacing w:lineRule="auto" w:line="240"/>
        <w:jc w:val="center"/>
        <w:rPr>
          <w:b/>
          <w:color w:val="000000"/>
        </w:rPr>
      </w:pPr>
      <w:r>
        <w:rPr>
          <w:b/>
          <w:color w:val="000000"/>
        </w:rPr>
        <w:t xml:space="preserve">UTILITIES COMMISSION OF THE STATE OF CALIFORNIA </w:t>
      </w:r>
    </w:p>
    <w:p>
      <w:pPr>
        <w:pStyle w:val="Normal"/>
        <w:spacing w:lineRule="auto" w:line="240"/>
        <w:jc w:val="center"/>
        <w:rPr>
          <w:b/>
          <w:color w:val="000000"/>
        </w:rPr>
      </w:pPr>
      <w:r>
        <w:rPr>
          <w:b/>
          <w:color w:val="000000"/>
        </w:rPr>
        <w:t>TO PETITIONS FOR ENFORCEMENT ACTION</w:t>
      </w:r>
    </w:p>
    <w:p>
      <w:pPr>
        <w:pStyle w:val="Normal"/>
        <w:spacing w:lineRule="auto" w:line="240"/>
        <w:jc w:val="center"/>
        <w:rPr>
          <w:b/>
          <w:color w:val="000000"/>
        </w:rPr>
      </w:pPr>
      <w:r>
        <w:rPr>
          <w:b/>
          <w:color w:val="000000"/>
        </w:rPr>
      </w:r>
    </w:p>
    <w:p>
      <w:pPr>
        <w:pStyle w:val="BodyText"/>
        <w:rPr>
          <w:color w:val="000000"/>
        </w:rPr>
      </w:pPr>
      <w:r>
        <w:rPr>
          <w:color w:val="000000"/>
        </w:rPr>
        <w:t>Pursuant to Rules 212 and 214(a)(2) of the Rules of Practice and Procedure (“Rules”) of the Federal Energy Regulatory Commission (“FERC”), the  Public Utilities Commission of the State of California (“CPUC”) hereby intervenes in and protests the respective Petitions of the California Cogeneration Council (“CCC”),  Tractabel Power, Inc. (“Tractabel”), and Calpine Corporation (“Calpine”), for an enforcement action pursuant to § 210 of the Public Utility Regulatory Policies Act of 1978 (“PURPA”).  The CPUC is a constitutionally-established agency charged with the responsibility for regulating natural gas and electric corporations within the State of California.  In addition, the CPUC has a statutory mandate to represent the interests of natural gas and electric consumers throughout California in proceedings before the FERC.</w:t>
      </w:r>
    </w:p>
    <w:p>
      <w:pPr>
        <w:pStyle w:val="BodyText"/>
        <w:rPr>
          <w:color w:val="000000"/>
        </w:rPr>
      </w:pPr>
      <w:r>
        <w:rPr>
          <w:color w:val="000000"/>
        </w:rPr>
        <w:t>The names and addresses of persons to whom communications in this docket should be addressed are:</w:t>
      </w:r>
    </w:p>
    <w:p>
      <w:pPr>
        <w:pStyle w:val="Caption"/>
        <w:tabs>
          <w:tab w:val="clear" w:pos="4320"/>
          <w:tab w:val="left" w:pos="4860" w:leader="none"/>
          <w:tab w:val="left" w:pos="5040" w:leader="none"/>
        </w:tabs>
        <w:rPr>
          <w:color w:val="000000"/>
        </w:rPr>
      </w:pPr>
      <w:r>
        <w:rPr>
          <w:color w:val="000000"/>
        </w:rPr>
        <w:t>Sean H. Gallagher</w:t>
        <w:tab/>
        <w:t>Douglas Long</w:t>
      </w:r>
    </w:p>
    <w:p>
      <w:pPr>
        <w:pStyle w:val="Caption"/>
        <w:tabs>
          <w:tab w:val="clear" w:pos="4320"/>
          <w:tab w:val="left" w:pos="4860" w:leader="none"/>
          <w:tab w:val="left" w:pos="5040" w:leader="none"/>
        </w:tabs>
        <w:rPr>
          <w:color w:val="000000"/>
        </w:rPr>
      </w:pPr>
      <w:r>
        <w:rPr>
          <w:color w:val="000000"/>
        </w:rPr>
        <w:t>Public Utilities Commission</w:t>
        <w:tab/>
        <w:t>Public Utilities Commission</w:t>
      </w:r>
    </w:p>
    <w:p>
      <w:pPr>
        <w:pStyle w:val="Caption"/>
        <w:tabs>
          <w:tab w:val="clear" w:pos="4320"/>
          <w:tab w:val="left" w:pos="4860" w:leader="none"/>
          <w:tab w:val="left" w:pos="5040" w:leader="none"/>
        </w:tabs>
        <w:rPr>
          <w:color w:val="000000"/>
        </w:rPr>
      </w:pPr>
      <w:r>
        <w:rPr>
          <w:color w:val="000000"/>
        </w:rPr>
        <w:t>of the State of California</w:t>
        <w:tab/>
        <w:t>of the State of California</w:t>
      </w:r>
    </w:p>
    <w:p>
      <w:pPr>
        <w:pStyle w:val="Caption"/>
        <w:tabs>
          <w:tab w:val="clear" w:pos="4320"/>
          <w:tab w:val="left" w:pos="4860" w:leader="none"/>
          <w:tab w:val="left" w:pos="5040" w:leader="none"/>
        </w:tabs>
        <w:rPr>
          <w:color w:val="000000"/>
        </w:rPr>
      </w:pPr>
      <w:r>
        <w:rPr>
          <w:color w:val="000000"/>
        </w:rPr>
        <w:t>505 Van Ness Ave., Room 5035</w:t>
        <w:tab/>
        <w:t>505 Van Ness Ave.</w:t>
      </w:r>
    </w:p>
    <w:p>
      <w:pPr>
        <w:pStyle w:val="Caption"/>
        <w:tabs>
          <w:tab w:val="clear" w:pos="4320"/>
          <w:tab w:val="left" w:pos="4860" w:leader="none"/>
          <w:tab w:val="left" w:pos="5040" w:leader="none"/>
        </w:tabs>
        <w:rPr>
          <w:color w:val="000000"/>
        </w:rPr>
      </w:pPr>
      <w:r>
        <w:rPr>
          <w:color w:val="000000"/>
        </w:rPr>
        <w:t>San Francisco, CA  94102</w:t>
        <w:tab/>
        <w:t>San Francisco, CA  94102</w:t>
      </w:r>
    </w:p>
    <w:p>
      <w:pPr>
        <w:pStyle w:val="Caption"/>
        <w:numPr>
          <w:ilvl w:val="0"/>
          <w:numId w:val="0"/>
        </w:numPr>
        <w:tabs>
          <w:tab w:val="clear" w:pos="4320"/>
          <w:tab w:val="left" w:pos="4860" w:leader="none"/>
          <w:tab w:val="left" w:pos="5040" w:leader="none"/>
        </w:tabs>
        <w:ind w:firstLine="360" w:start="360" w:end="0"/>
        <w:rPr>
          <w:color w:val="000000"/>
        </w:rPr>
      </w:pPr>
      <w:r>
        <w:rPr>
          <w:color w:val="000000"/>
        </w:rPr>
        <w:t>(415) 703-2059</w:t>
        <w:tab/>
        <w:t>(415) 703-2011</w:t>
      </w:r>
    </w:p>
    <w:p>
      <w:pPr>
        <w:pStyle w:val="Caption"/>
        <w:tabs>
          <w:tab w:val="clear" w:pos="4320"/>
          <w:tab w:val="left" w:pos="4860" w:leader="none"/>
          <w:tab w:val="left" w:pos="5040" w:leader="none"/>
        </w:tabs>
        <w:rPr>
          <w:color w:val="000000"/>
        </w:rPr>
      </w:pPr>
      <w:r>
        <w:rPr>
          <w:color w:val="000000"/>
        </w:rPr>
      </w:r>
    </w:p>
    <w:p>
      <w:pPr>
        <w:pStyle w:val="Caption"/>
        <w:tabs>
          <w:tab w:val="clear" w:pos="4320"/>
          <w:tab w:val="left" w:pos="4860" w:leader="none"/>
          <w:tab w:val="left" w:pos="5040" w:leader="none"/>
        </w:tabs>
        <w:rPr>
          <w:color w:val="000000"/>
        </w:rPr>
      </w:pPr>
      <w:r>
        <w:rPr>
          <w:color w:val="000000"/>
        </w:rPr>
        <w:t>Arocles Aguilar</w:t>
        <w:tab/>
      </w:r>
    </w:p>
    <w:p>
      <w:pPr>
        <w:pStyle w:val="Caption"/>
        <w:tabs>
          <w:tab w:val="clear" w:pos="4320"/>
          <w:tab w:val="left" w:pos="4860" w:leader="none"/>
          <w:tab w:val="left" w:pos="5040" w:leader="none"/>
        </w:tabs>
        <w:rPr>
          <w:color w:val="000000"/>
        </w:rPr>
      </w:pPr>
      <w:r>
        <w:rPr>
          <w:color w:val="000000"/>
        </w:rPr>
        <w:t>Public Utilities Commission</w:t>
        <w:tab/>
      </w:r>
    </w:p>
    <w:p>
      <w:pPr>
        <w:pStyle w:val="Caption"/>
        <w:tabs>
          <w:tab w:val="clear" w:pos="4320"/>
          <w:tab w:val="left" w:pos="4860" w:leader="none"/>
          <w:tab w:val="left" w:pos="5040" w:leader="none"/>
        </w:tabs>
        <w:rPr>
          <w:color w:val="000000"/>
        </w:rPr>
      </w:pPr>
      <w:r>
        <w:rPr>
          <w:color w:val="000000"/>
        </w:rPr>
        <w:t>of the State of California</w:t>
        <w:tab/>
      </w:r>
    </w:p>
    <w:p>
      <w:pPr>
        <w:pStyle w:val="Caption"/>
        <w:tabs>
          <w:tab w:val="clear" w:pos="4320"/>
          <w:tab w:val="left" w:pos="4860" w:leader="none"/>
          <w:tab w:val="left" w:pos="5040" w:leader="none"/>
        </w:tabs>
        <w:rPr>
          <w:color w:val="000000"/>
        </w:rPr>
      </w:pPr>
      <w:r>
        <w:rPr>
          <w:color w:val="000000"/>
        </w:rPr>
        <w:t>505 Van Ness Ave., Room 5128</w:t>
        <w:tab/>
        <w:t xml:space="preserve"> </w:t>
      </w:r>
    </w:p>
    <w:p>
      <w:pPr>
        <w:pStyle w:val="Caption"/>
        <w:tabs>
          <w:tab w:val="clear" w:pos="4320"/>
          <w:tab w:val="left" w:pos="4860" w:leader="none"/>
          <w:tab w:val="left" w:pos="5040" w:leader="none"/>
        </w:tabs>
        <w:rPr>
          <w:color w:val="000000"/>
        </w:rPr>
      </w:pPr>
      <w:r>
        <w:rPr>
          <w:color w:val="000000"/>
        </w:rPr>
        <w:t>San Francisco, CA  94102</w:t>
        <w:tab/>
      </w:r>
    </w:p>
    <w:p>
      <w:pPr>
        <w:pStyle w:val="Caption"/>
        <w:numPr>
          <w:ilvl w:val="0"/>
          <w:numId w:val="0"/>
        </w:numPr>
        <w:tabs>
          <w:tab w:val="clear" w:pos="4320"/>
          <w:tab w:val="left" w:pos="4860" w:leader="none"/>
          <w:tab w:val="left" w:pos="5040" w:leader="none"/>
        </w:tabs>
        <w:ind w:firstLine="360" w:start="360" w:end="0"/>
        <w:rPr>
          <w:color w:val="000000"/>
        </w:rPr>
      </w:pPr>
      <w:r>
        <w:rPr>
          <w:color w:val="000000"/>
        </w:rPr>
        <w:t>(415) 703-2969</w:t>
        <w:tab/>
      </w:r>
    </w:p>
    <w:p>
      <w:pPr>
        <w:pStyle w:val="BodyText2"/>
        <w:spacing w:lineRule="auto" w:line="480"/>
        <w:ind w:firstLine="720" w:end="0"/>
        <w:rPr>
          <w:color w:val="000000"/>
        </w:rPr>
      </w:pPr>
      <w:r>
        <w:rPr>
          <w:color w:val="000000"/>
        </w:rPr>
      </w:r>
    </w:p>
    <w:p>
      <w:pPr>
        <w:pStyle w:val="Heading1"/>
        <w:ind w:hanging="0" w:start="0"/>
        <w:rPr>
          <w:color w:val="000000"/>
        </w:rPr>
      </w:pPr>
      <w:r>
        <w:rPr>
          <w:color w:val="000000"/>
        </w:rPr>
        <w:t>INTRODUCTION</w:t>
      </w:r>
    </w:p>
    <w:p>
      <w:pPr>
        <w:pStyle w:val="BodyText"/>
        <w:rPr/>
      </w:pPr>
      <w:r>
        <w:rPr>
          <w:color w:val="000000"/>
        </w:rPr>
        <w:t>On April 5, 2001, the CCC filed its Petition for an Enforcement Action Pursuant to PURPA § 210(h)(2)(B) (“the CCC Petition”)</w:t>
      </w:r>
      <w:r>
        <w:rPr/>
        <w:t xml:space="preserve">, which was docketed as EL01-64-000.  On April 18, 2001, Tractabel filed </w:t>
      </w:r>
      <w:r>
        <w:rPr>
          <w:color w:val="000000"/>
        </w:rPr>
        <w:t>its Petition for an Enforcement Action Pursuant to § 210(h)(2)(B), docketed as EL01-67-000 (“the Tractabel Petition”).  Tractabel also moved to consolidate the two dockets.  On April 27, 2001, Calpine Corporation filed its Petition for an Enforcement Action and/or Declaratory Order and Request for Expedited Treatment, docketed as EL01-71-000 (“the Calpine Petition”) (collectively, “the Petitions”).  The Petitions assert that the CPUC’s Decision 01-03-067, 2001 Cal. PUC LEXIS 220 (March 27, 2001) (“</w:t>
      </w:r>
      <w:r>
        <w:rPr/>
        <w:t>D.01-03-067” or “</w:t>
      </w:r>
      <w:r>
        <w:rPr>
          <w:color w:val="000000"/>
        </w:rPr>
        <w:t>the March 27 decision”) violates PURPA, and request that FERC initiate an enforcement action and/or provide guidance to the CPUC.</w:t>
      </w:r>
    </w:p>
    <w:p>
      <w:pPr>
        <w:pStyle w:val="BodyText"/>
        <w:rPr>
          <w:color w:val="000000"/>
        </w:rPr>
      </w:pPr>
      <w:r>
        <w:rPr>
          <w:color w:val="000000"/>
        </w:rPr>
        <w:t>The Petitions contend that the March 27 decision violates PURPA and FERC’s regulations in that: (1) it will result in QFs being paid less than full avoided costs; (2) it discriminates against QFs; and (3) it discourages co-generation and thus is not in the public interest.  Although framed as three alleged violations, the Petitions focus on, and each of the arguments asserted by CCC, Calpine, and Tractabel reduce to, the allegation that D.01-03-067 reduces rates to be paid to QFs to something less than full avoided costs.</w:t>
      </w:r>
    </w:p>
    <w:p>
      <w:pPr>
        <w:pStyle w:val="BodyText"/>
        <w:rPr/>
      </w:pPr>
      <w:r>
        <w:rPr/>
        <w:t>FERC should decline the request to initiate an enforcement proceeding.  Rather, FERC should take this opportunity to encourage all parties to engage in the further proceedings at the CPUC discussed below to resolve issues related to avoided costs and to ensure maximum QF output.</w:t>
      </w:r>
    </w:p>
    <w:p>
      <w:pPr>
        <w:pStyle w:val="Heading1"/>
        <w:ind w:hanging="0" w:start="0"/>
        <w:rPr/>
      </w:pPr>
      <w:r>
        <w:rPr/>
        <w:t>LEGAL FRAMEWORK</w:t>
      </w:r>
    </w:p>
    <w:p>
      <w:pPr>
        <w:pStyle w:val="BodyText"/>
        <w:rPr/>
      </w:pPr>
      <w:r>
        <w:rPr/>
        <w:t xml:space="preserve">PURPA sets out “an elaborate enforcement scheme in which the roles of [FERC], the state public utility commissions (PUCs) and the federal courts are specifically delineated.”  </w:t>
      </w:r>
      <w:r>
        <w:rPr>
          <w:u w:val="single"/>
        </w:rPr>
        <w:t>Connecticut Valley Electric Company v. FERC</w:t>
      </w:r>
      <w:r>
        <w:rPr/>
        <w:t xml:space="preserve">, 208 F.3d 1037, 1043 (D.C. Cir. 2000).  Under </w:t>
        <w:br/>
        <w:t xml:space="preserve">§ 210 of PURPA, 16 U.S.C. § 824a-3, FERC is required to promulgate regulations governing utility purchases of electricity from QFs, and state commissions are required to implement the FERC regulations.  If a state commission fails to implement a regulation—such as the avoided cost regulation set out at 18 C.F.R. § 292.304—FERC may bring an enforcement action in federal district Court.  Alternatively, a private party, such as one of the Petitioners herein, may petition FERC to initiate such an enforcement action, and if FERC declines, the private party may bring such an action.  </w:t>
      </w:r>
      <w:r>
        <w:rPr>
          <w:u w:val="single"/>
        </w:rPr>
        <w:t>Id</w:t>
      </w:r>
      <w:r>
        <w:rPr/>
        <w:t>.</w:t>
      </w:r>
    </w:p>
    <w:p>
      <w:pPr>
        <w:pStyle w:val="BodyText"/>
        <w:rPr/>
      </w:pPr>
      <w:r>
        <w:rPr/>
        <w:t>FERC’s role in this action is simply to determine whether or not to initiate an enforcement action in federal district Court.</w:t>
      </w:r>
    </w:p>
    <w:p>
      <w:pPr>
        <w:pStyle w:val="Heading1"/>
        <w:ind w:hanging="0" w:start="0"/>
        <w:rPr/>
      </w:pPr>
      <w:r>
        <w:rPr/>
        <w:t>THE CPUC’S DECISION</w:t>
      </w:r>
    </w:p>
    <w:p>
      <w:pPr>
        <w:pStyle w:val="BodyText"/>
        <w:rPr/>
      </w:pPr>
      <w:r>
        <w:rPr/>
        <w:t>A copy of the CPUC’s March 27 decision is attached to both Petitions.  This decision is important in two relevant respects.  First, it ordered Edison and PG&amp;E to begin paying QFs on a forward-going basis.  Both utilities made payments totaling several hundred million dollars for power produced in April during the week of April 16.</w:t>
      </w:r>
      <w:r>
        <w:rPr>
          <w:rStyle w:val="FootnoteCharacters"/>
          <w:rStyle w:val="FootnoteReference"/>
        </w:rPr>
        <w:footnoteReference w:id="2"/>
      </w:r>
      <w:r>
        <w:rPr/>
        <w:t xml:space="preserve">  As a result, it has been reported to the CPUC that certain QF generation which had been taken out of service has returned to service (</w:t>
      </w:r>
      <w:r>
        <w:rPr>
          <w:u w:val="single"/>
        </w:rPr>
        <w:t>see</w:t>
      </w:r>
      <w:r>
        <w:rPr/>
        <w:t xml:space="preserve"> discussion below).</w:t>
      </w:r>
    </w:p>
    <w:p>
      <w:pPr>
        <w:pStyle w:val="BodyText"/>
        <w:rPr/>
      </w:pPr>
      <w:r>
        <w:rPr/>
        <w:t xml:space="preserve">Second, D.01-03-067 adopted revisions to the calculation of utility avoided cost.  Several published reports have suggested that certain gas-fired QFs are displeased with the revisions, and some allege that under the revised formula the avoided cost payments will not cover their costs.  D.01-03-067 made two changes to the calculation of Short Run Avoided Costs (“SRAC”) applicable to certain QF contracts.  For Edison only, D.01-03-067 changed a “factor” which “represented a regression describing the historical relationship between changes in border gas costs and SCE’s calculated costs.”  </w:t>
      </w:r>
      <w:r>
        <w:rPr>
          <w:u w:val="single"/>
        </w:rPr>
        <w:t>Id</w:t>
      </w:r>
      <w:r>
        <w:rPr/>
        <w:t xml:space="preserve">., slip op. at 5.  The factor had been used “because SRAC prices did not change on a one-for-one basis with border gas prices.”  </w:t>
      </w:r>
      <w:r>
        <w:rPr>
          <w:u w:val="single"/>
        </w:rPr>
        <w:t>Id</w:t>
      </w:r>
      <w:r>
        <w:rPr/>
        <w:t>., slip op. at 11.  The “factor” had been a constant set at .7067 since 1996.  The March 27 decision converted Edison’s fixed factor to a formula.  The “factors” for PG&amp;E and SDG&amp;E have not been changed.</w:t>
      </w:r>
    </w:p>
    <w:p>
      <w:pPr>
        <w:pStyle w:val="BodyText"/>
        <w:rPr/>
      </w:pPr>
      <w:r>
        <w:rPr/>
        <w:t xml:space="preserve">Contrary to the Petitions’ assertions that the change to the factor in the March 27 decision “locked in” inappropriate heat rates, for instance, the March 27 decision states that the CPUC did not at that point “have a sufficient record to update the IER or variable O&amp;M components of the SRAC formula, so changes to the monthly factor will be subject to possible upward revision based on our review of the IER and variable O&amp;M.”  </w:t>
      </w:r>
      <w:r>
        <w:rPr>
          <w:u w:val="single"/>
        </w:rPr>
        <w:t>Id</w:t>
      </w:r>
      <w:r>
        <w:rPr/>
        <w:t>. slip op. at 13.  Parties were ordered to file testimony on these issues on May 1 (subsequently changed to May 7), and evidentiary hearings are to be scheduled shortly after reply testimony is filed on May 21 (reply testimony is now due on May 25).</w:t>
      </w:r>
    </w:p>
    <w:p>
      <w:pPr>
        <w:pStyle w:val="BodyText"/>
        <w:rPr/>
      </w:pPr>
      <w:r>
        <w:rPr/>
        <w:t xml:space="preserve">The second change to the SRAC formula made in the March 27 decision was to the gas prices to be used to calculate SRAC.  Previously, SRAC for Edison and SDG&amp;E were based on published border prices at Topock, while PG&amp;E’s SRAC was based 50% on Topock prices and 50% on Malin prices.  The CPUC had noted in the decision adopting the pre-existing formulas that “[a]s the market continues to evolve, parties may wish to rely on new published indices” taking into account the “accuracy and robustness” of such alternative indices.  </w:t>
      </w:r>
      <w:r>
        <w:rPr>
          <w:u w:val="single"/>
        </w:rPr>
        <w:t>Id</w:t>
      </w:r>
      <w:r>
        <w:rPr/>
        <w:t>. at 14 (quoting D.96-12-028, slip op. at 15, 1996 Cal. PUC LEXIS 1089 (1996).  The CPUC determined in the March 27 decision that “the comments in numerous rounds of pleadings on this matter have convinced us that the Topock index is no longer sufficiently robust to be utilized in the Transition Formula.”  In addition, the CPUC determined that “it is clear that almost none of the QFs that submitted declarations actually purchase gas at Topock.”  D.01-03-067, slip op. at 18.</w:t>
      </w:r>
    </w:p>
    <w:p>
      <w:pPr>
        <w:pStyle w:val="BodyText"/>
        <w:rPr/>
      </w:pPr>
      <w:r>
        <w:rPr/>
        <w:t xml:space="preserve">The CPUC thus ordered its Energy Division to hold “a workshop on the various gas cost options to replace Topock,” and report to the CPUC within 35 days.  The workshop was held on April 19, 2001.  As indicated in the text of the Notice of Workshop, which is attached hereto as Exhibit A, the workshop was held in order for parties to “[p]rovide more information for the Commission, to assist in its deciding upon an appropriate way to implement Section 390 [of the California Public Utilities Code], comply with the requirements of PURPA, and provide adequate financial coverage for gas-burning QFs” and “[p]romote discussion among parties, to advance, to the degree possible, a convergence of opinion.”  A workshop report was issued on May 1.  The CPUC expects to issue a further order on the gas index input to the avoided cost calculation issue expeditiously.  In the interim, the CPUC found that “adopting a Malin border price plus intrastate transportation as a temporary replacement for Topock” meets the requirements of both state and federal law.  </w:t>
      </w:r>
      <w:r>
        <w:rPr>
          <w:u w:val="single"/>
        </w:rPr>
        <w:t>Id</w:t>
      </w:r>
      <w:r>
        <w:rPr/>
        <w:t>. at 20.</w:t>
      </w:r>
    </w:p>
    <w:p>
      <w:pPr>
        <w:pStyle w:val="BodyText"/>
        <w:rPr/>
      </w:pPr>
      <w:r>
        <w:rPr/>
        <w:t xml:space="preserve">The CPUC also observed in the March 27 decision that “it is unclear that going forward , the [California] statutory requirement to base SRAC prices on border gas prices accurately represents” the avoided cost of electricity for Edison, PG&amp;E and SDG&amp;E.  </w:t>
      </w:r>
      <w:r>
        <w:rPr>
          <w:u w:val="single"/>
        </w:rPr>
        <w:t>Id</w:t>
      </w:r>
      <w:r>
        <w:rPr/>
        <w:t xml:space="preserve">. at 12.  Since the California IOUs have sold most or all of their gas-fired generation, “arguments about how SCE would have procured gas today do not add much value to solving the problem of how to calculate SRAC on a going forward basis.”  </w:t>
      </w:r>
      <w:r>
        <w:rPr>
          <w:u w:val="single"/>
        </w:rPr>
        <w:t>Id</w:t>
      </w:r>
      <w:r>
        <w:rPr/>
        <w:t xml:space="preserve">.  The CPUC indicated that it would look to FERC’s determination in </w:t>
      </w:r>
      <w:r>
        <w:rPr>
          <w:u w:val="single"/>
        </w:rPr>
        <w:t>San Diego Gas &amp; Electric Company et al.</w:t>
      </w:r>
      <w:r>
        <w:rPr/>
        <w:t xml:space="preserve">, 93 FERC ¶ 61,294 (2000), slip op. at 27 (“the December 15 Order), that “an average of historical utility embedded cost of generation would represent an appropriate benchmark for determining the prudency of forward contracts.”  D.01-03-067, slip op. at 21.  The CPUC observed that it is consistent, in attempting to reconcile PURPA and California Public Utilities Code § 390 “to look to FERC’s guidance about a reasonable price for purchases in establishing an objective for QF payments.”  </w:t>
      </w:r>
      <w:r>
        <w:rPr>
          <w:u w:val="single"/>
        </w:rPr>
        <w:t>Id</w:t>
      </w:r>
      <w:r>
        <w:rPr/>
        <w:t xml:space="preserve">. at 23.  The CPUC observed that, “QF contracts represent long-term purchase commitments by utilities, on which sellers have been and continue to be able to rely.  These are precisely the type of commitments that FERC has recommended as a shelter from the pricing volatility and unreasonableness of short term wholesale markets.”  </w:t>
      </w:r>
      <w:r>
        <w:rPr>
          <w:u w:val="single"/>
        </w:rPr>
        <w:t>Id</w:t>
      </w:r>
      <w:r>
        <w:rPr/>
        <w:t xml:space="preserve">., slip op. at 18-19.  The CPUC also indicated that it would look to the prices paid by the California Department of Water Resources (“CDWR”) for power.  </w:t>
      </w:r>
      <w:r>
        <w:rPr>
          <w:u w:val="single"/>
        </w:rPr>
        <w:t>Id</w:t>
      </w:r>
      <w:r>
        <w:rPr/>
        <w:t>., slip op. at 21-23.</w:t>
      </w:r>
    </w:p>
    <w:p>
      <w:pPr>
        <w:pStyle w:val="BodyText"/>
        <w:rPr/>
      </w:pPr>
      <w:r>
        <w:rPr/>
        <w:t xml:space="preserve">In addition, the CPUC observed that “QFs have never been absolutely entitled to a payment to cover their operating costs under any and all circumstances, only to a payment consistent with the utility’s avoided cost.”  </w:t>
      </w:r>
      <w:r>
        <w:rPr>
          <w:u w:val="single"/>
        </w:rPr>
        <w:t>Id</w:t>
      </w:r>
      <w:r>
        <w:rPr/>
        <w:t xml:space="preserve">. at 23.  Thus, the “fact that a QF may not have protected itself from pricing volatility is not reason not to establish a cap on QF payments at utility avoided cost.”  </w:t>
      </w:r>
      <w:r>
        <w:rPr>
          <w:u w:val="single"/>
        </w:rPr>
        <w:t>Id</w:t>
      </w:r>
      <w:r>
        <w:rPr/>
        <w:t>.  However, the CPUC declined to adopt a cap on avoided cost payments at this time.</w:t>
      </w:r>
    </w:p>
    <w:p>
      <w:pPr>
        <w:pStyle w:val="BodyText"/>
        <w:rPr/>
      </w:pPr>
      <w:r>
        <w:rPr/>
        <w:t xml:space="preserve">Utility representatives have reported to the CPUC that QFs responded generally positively to the March 27 decision.  As reported by the utilities to the CPUC, the capacity of PG&amp;E’s QFs offline for financial or economic reasons decreased from 1100 MW to 700 MW after the March 27 decision was issued, and is now reported to be down to about 620 MW.  For Edison the QF capacity offline for financial or economic reasons decreased from 800 to approximately 225 MW, and it is now at about 320 MW.  It was only SDG&amp;E which saw a rise in QF economic shutdowns, from zero to 150 MW.  </w:t>
      </w:r>
    </w:p>
    <w:p>
      <w:pPr>
        <w:pStyle w:val="BodyText"/>
        <w:rPr/>
      </w:pPr>
      <w:r>
        <w:rPr/>
        <w:t xml:space="preserve">While the total amount of QF capacity reported in recent press reports to be offline is higher than the figures in the preceding paragraph, QFs traditionally conduct maintenance on their facilities during the spring, prior to the summer peak season.  California QF contracts have capacity as well as energy payment provisions.  Historically, capacity payments comprise just under 30% of total QF payments.  The terms of the contracts are structured to provide most of these capacity payments during the high demand summer months.  For example, in the year 2000, Edison paid 79% of its capacity payments during the 4 months July-October.  In general, these higher capacity payments give the QFs greater incentive to produce in the peak months. </w:t>
      </w:r>
    </w:p>
    <w:p>
      <w:pPr>
        <w:pStyle w:val="BodyText"/>
        <w:rPr/>
      </w:pPr>
      <w:r>
        <w:rPr/>
        <w:t>The ongoing proceedings discussed above will seek to ensure that all QF generation is returned to service in a timely fashion.</w:t>
      </w:r>
    </w:p>
    <w:p>
      <w:pPr>
        <w:pStyle w:val="Heading1"/>
        <w:ind w:hanging="0" w:start="0"/>
        <w:rPr/>
      </w:pPr>
      <w:r>
        <w:rPr/>
        <w:t>FERC SHOULD REJECT THE PETITIONS</w:t>
      </w:r>
    </w:p>
    <w:p>
      <w:pPr>
        <w:pStyle w:val="BodyText"/>
        <w:rPr/>
      </w:pPr>
      <w:r>
        <w:rPr/>
        <w:t>FERC should reject the Petitions for several reasons. While the Petitions are replete with rhetoric, the issue they raise is a simple one: whether FERC will take the position that the CPUC’s March 27 decision violates FERC’s regulations implementing PURPA’s avoided cost provision, such that FERC will initiate an enforcement action.  The CPUC submits that the answer should clearly be “no.”</w:t>
      </w:r>
    </w:p>
    <w:p>
      <w:pPr>
        <w:pStyle w:val="BodyText"/>
        <w:rPr/>
      </w:pPr>
      <w:r>
        <w:rPr/>
        <w:t xml:space="preserve">Under applicable precedent, FERC’s role is to ensure an adequate process is followed in determining avoided costs, not to adjudicate disputes over particular determinations of avoided cost.  PURPA gives “great latitude” to state Commissions as to procedures selected to determine avoided costs.  A state commission may “comply with the statutory requirements by issuing regulations, by resolving disputes on a case-by-case basis, or by  taking any other action reasonably designed to give effect to FERC's rules.”  </w:t>
      </w:r>
      <w:r>
        <w:rPr>
          <w:u w:val="single"/>
        </w:rPr>
        <w:t>FERC v. Mississippi</w:t>
      </w:r>
      <w:r>
        <w:rPr/>
        <w:t xml:space="preserve">, 456 U.S. 742, 751 (1982).  CCC concedes that “state regulatory agencies, such as the CPUC, have the responsibility to determine current avoided costs in the case of a dispute.”  CCC Petition at 12; </w:t>
      </w:r>
      <w:r>
        <w:rPr>
          <w:u w:val="single"/>
        </w:rPr>
        <w:t>FERC v. Mississippi</w:t>
      </w:r>
      <w:r>
        <w:rPr/>
        <w:t>, 456 U.S. at 760 (“In essence, then, the statute and the implementing  regulations simply require the Mississippi authorities to adjudicate disputes arising under the statute. Dispute resolution of this kind is the very type of activity customarily engaged in by the Mississippi Public Service Commission”).  FERC has stated that it “has not, and does not intend in the future, to second-guess state regulatory authorities’ actual determination of avoided costs (</w:t>
      </w:r>
      <w:r>
        <w:rPr>
          <w:u w:val="single"/>
        </w:rPr>
        <w:t>i.e</w:t>
      </w:r>
      <w:r>
        <w:rPr/>
        <w:t xml:space="preserve">. whether the per unit charges are no higher than incremental costs.”  </w:t>
      </w:r>
      <w:r>
        <w:rPr>
          <w:u w:val="single"/>
        </w:rPr>
        <w:t>Southern California Edison Company</w:t>
      </w:r>
      <w:r>
        <w:rPr/>
        <w:t>, 70 FERC ¶ 61,215 (1995).  Rather, FERC “believes its role is limited to ensuring the process used to calculate the per unit charge (</w:t>
      </w:r>
      <w:r>
        <w:rPr>
          <w:u w:val="single"/>
        </w:rPr>
        <w:t>i.e</w:t>
      </w:r>
      <w:r>
        <w:rPr/>
        <w:t xml:space="preserve">. implementation) accords with the statute and [FERC’s] regulations.”  </w:t>
      </w:r>
      <w:r>
        <w:rPr>
          <w:u w:val="single"/>
        </w:rPr>
        <w:t>Id</w:t>
      </w:r>
      <w:r>
        <w:rPr/>
        <w:t>.  Here, the CPUC conducted an open process, accepting several rounds of pleadings from interested parties.  Additional proceedings are planned, as discussed below.  There is no basis on which to conclude that the process failed to accord with applicable regulations.</w:t>
      </w:r>
    </w:p>
    <w:p>
      <w:pPr>
        <w:pStyle w:val="BodyText"/>
        <w:rPr/>
      </w:pPr>
      <w:r>
        <w:rPr/>
        <w:t>Moreover, the CPUC’s March 27 decision is an interim order.  Both of the elements of the SRAC which the decision modified are subject to on-going CPUC proceedings.  As noted above, testimony is due to be filed on the “factor” issue on May 7.  A workshop on the gas index issue was held on April 19, and a workshop report was issued May 1.  The resources of all concerned parties will be much more productively spent focused on seeking appropriate modifications to the SRAC calculation in such proceedings than in litigation likely to be quickly mooted by superceding decisions.</w:t>
      </w:r>
    </w:p>
    <w:p>
      <w:pPr>
        <w:pStyle w:val="BodyText"/>
        <w:rPr/>
      </w:pPr>
      <w:r>
        <w:rPr/>
        <w:t>The discussion in both Petitions as to the extent to which the modified SRAC formula covers the QFs actual costs are, as a legal matter, wholly irrelevant.  The issue under PURPA is utility avoided costs, not QF operating costs.  The “fact that a QF may not have protected itself from pricing volatility is not reason not to establish a cap on QF payments at utility avoided cost.”  D.01-03-067 at 23.  While border gas prices may be relevant to the SRAC calculation under California law, PURPA does not require that utility avoided costs be calculated based on gas prices at all, much less any particular set of gas prices.  This is not to say, however, that the CPUC is deaf to the concerns of gas-fired QFs.  To the contrary, it is in the interest of the CPUC and California to ensure that all of FERC’s implementing regulations are satisfied, to the mutual benefit of consumers and QF producers.  To this end, the CPUC is undertaking the further processes described above, intended to ensure the maximum amount of QF generation at prices consistent with all of the CPUC’s statutory obligations.</w:t>
      </w:r>
      <w:r>
        <w:rPr>
          <w:rStyle w:val="FootnoteCharacters"/>
          <w:rStyle w:val="FootnoteReference"/>
        </w:rPr>
        <w:footnoteReference w:id="3"/>
      </w:r>
    </w:p>
    <w:p>
      <w:pPr>
        <w:pStyle w:val="BodyText"/>
        <w:rPr/>
      </w:pPr>
      <w:r>
        <w:rPr/>
        <w:t xml:space="preserve">FERC’s regulations require not only that utilities pay avoided costs to QF producers, 18 C.F.R. § 292.304(b)(2), but that rates paid to QFs “shall be just and reasonable to the electric consumer of the electric utility and in the public interest.”  </w:t>
      </w:r>
      <w:r>
        <w:rPr>
          <w:u w:val="single"/>
        </w:rPr>
        <w:t>See</w:t>
      </w:r>
      <w:r>
        <w:rPr/>
        <w:t xml:space="preserve"> 18 C.F.R. § 292.304(a)(1)(i).  Moreover, “in the case in which the rates for purchases are based upon estimates of avoided costs over the specific term of the contract or other legally enforceable obligation” there is no </w:t>
      </w:r>
      <w:r>
        <w:br w:type="page"/>
      </w:r>
    </w:p>
    <w:p>
      <w:pPr>
        <w:pStyle w:val="BodyText"/>
        <w:ind w:hanging="0" w:end="0"/>
        <w:rPr/>
      </w:pPr>
      <w:r>
        <w:rPr/>
        <w:t xml:space="preserve">requirement that avoided costs pursuant to a contract or a formula precisely equal avoided costs at the time of delivery.  </w:t>
      </w:r>
      <w:r>
        <w:rPr>
          <w:u w:val="single"/>
        </w:rPr>
        <w:t>See</w:t>
      </w:r>
      <w:r>
        <w:rPr/>
        <w:t xml:space="preserve"> 18 C.F.R. § 292.304(b)(5).  FERC has explained that the reason for this regulation is that it can neither engage in minute-by-minute recalculation of rates, nor subject utilities and QF producers to the uncertainty that frequent recalculation would produce.  </w:t>
      </w:r>
      <w:r>
        <w:rPr>
          <w:u w:val="single"/>
        </w:rPr>
        <w:t>New York State Electric &amp; Gas Corporation v. FERC</w:t>
      </w:r>
      <w:r>
        <w:rPr/>
        <w:t xml:space="preserve">, 117 F.3d 1473, 1475 (D.C. Cir. 1997).  Rather, FERC has concluded that “in the long run, ‘overestimations’ and ‘underestimations’ will balance out.”  </w:t>
      </w:r>
      <w:r>
        <w:rPr>
          <w:u w:val="single"/>
        </w:rPr>
        <w:t>Id</w:t>
      </w:r>
      <w:r>
        <w:rPr/>
        <w:t xml:space="preserve">. </w:t>
      </w:r>
    </w:p>
    <w:p>
      <w:pPr>
        <w:pStyle w:val="BodyText"/>
        <w:rPr/>
      </w:pPr>
      <w:r>
        <w:rPr/>
        <w:t>Current circumstances in California clearly support a reassessment of how avoided costs are calculated, consistent with existing contractual provisions.  As the March 27 decision observes, the California utilities have largely or wholly divested their gas fired generation, calling into question the suitability of basing SRAC calculations on a theoretical utility gas portfolio.  Nor does PURPA require avoided costs to be set based on spot market electricity prices.  If PURPA required avoided costs to be calculated based on spot electricity prices, then California has been overpaying its QFs for well over a decade.  Throughout much of the 1980s and 1990s, surplus hydropower from the Pacific Northwest was available to California utilities for short term transactions at prices as low as $10/MW, while QF prices were several times that level.  It is thus entirely appropriate for the CPUC to consider, in setting avoided costs, both FERC’s discussion of the issue in the December 15 Order and the prices paid by CDWR for bilateral contracts.</w:t>
      </w:r>
    </w:p>
    <w:p>
      <w:pPr>
        <w:pStyle w:val="Heading1"/>
        <w:ind w:hanging="0" w:start="0"/>
        <w:rPr/>
      </w:pPr>
      <w:r>
        <w:rPr/>
        <w:t>CONCLUSION</w:t>
      </w:r>
    </w:p>
    <w:p>
      <w:pPr>
        <w:pStyle w:val="BodyText"/>
        <w:rPr/>
      </w:pPr>
      <w:r>
        <w:rPr/>
        <w:t>For the foregoing reasons, FERC should deny the Petitions.  To the extent that FERC considers providing “guidance,” FERC should discourage petitioners from initiating their own enforcement actions subsequent to a FERC order in this proceeding, and instead encourage all parties to engage in further proceedings at the CPUC to resolve issues related to avoided costs and to ensure maximum QF output.</w:t>
      </w:r>
    </w:p>
    <w:p>
      <w:pPr>
        <w:pStyle w:val="BodyText"/>
        <w:ind w:hanging="0" w:end="0"/>
        <w:rPr>
          <w:rStyle w:val="LineNumber"/>
          <w:color w:val="000000"/>
        </w:rPr>
      </w:pPr>
      <w:r>
        <w:rPr/>
      </w:r>
    </w:p>
    <w:p>
      <w:pPr>
        <w:pStyle w:val="Normal"/>
        <w:spacing w:lineRule="auto" w:line="240"/>
        <w:ind w:start="5040" w:end="0"/>
        <w:rPr/>
      </w:pPr>
      <w:r>
        <w:rPr>
          <w:rStyle w:val="LineNumber"/>
          <w:color w:val="000000"/>
          <w:sz w:val="24"/>
        </w:rPr>
        <w:t>Respectfully submitted,</w:t>
      </w:r>
    </w:p>
    <w:p>
      <w:pPr>
        <w:pStyle w:val="Normal"/>
        <w:spacing w:lineRule="auto" w:line="240"/>
        <w:ind w:start="5040" w:end="0"/>
        <w:rPr>
          <w:rStyle w:val="LineNumber"/>
          <w:color w:val="000000"/>
          <w:sz w:val="24"/>
        </w:rPr>
      </w:pPr>
      <w:r>
        <w:rPr/>
      </w:r>
    </w:p>
    <w:p>
      <w:pPr>
        <w:pStyle w:val="Normal"/>
        <w:spacing w:lineRule="auto" w:line="240"/>
        <w:ind w:start="5040" w:end="0"/>
        <w:rPr/>
      </w:pPr>
      <w:r>
        <w:rPr>
          <w:rStyle w:val="LineNumber"/>
          <w:smallCaps/>
          <w:color w:val="000000"/>
          <w:sz w:val="24"/>
        </w:rPr>
        <w:t>GARY M. COHEN</w:t>
      </w:r>
    </w:p>
    <w:p>
      <w:pPr>
        <w:pStyle w:val="Normal"/>
        <w:spacing w:lineRule="auto" w:line="240"/>
        <w:ind w:start="5040" w:end="0"/>
        <w:rPr/>
      </w:pPr>
      <w:r>
        <w:rPr>
          <w:rStyle w:val="LineNumber"/>
          <w:color w:val="000000"/>
          <w:sz w:val="24"/>
        </w:rPr>
        <w:t>AROCLES AGUILAR</w:t>
      </w:r>
    </w:p>
    <w:p>
      <w:pPr>
        <w:pStyle w:val="Normal"/>
        <w:spacing w:lineRule="auto" w:line="240"/>
        <w:ind w:start="5040" w:end="0"/>
        <w:rPr/>
      </w:pPr>
      <w:r>
        <w:rPr>
          <w:rStyle w:val="LineNumber"/>
          <w:color w:val="000000"/>
          <w:sz w:val="24"/>
        </w:rPr>
        <w:t>SEAN GALLAGHER</w:t>
      </w:r>
    </w:p>
    <w:p>
      <w:pPr>
        <w:pStyle w:val="Normal"/>
        <w:spacing w:lineRule="auto" w:line="240"/>
        <w:ind w:start="5040" w:end="0"/>
        <w:rPr>
          <w:rStyle w:val="LineNumber"/>
          <w:color w:val="000000"/>
          <w:sz w:val="24"/>
        </w:rPr>
      </w:pPr>
      <w:r>
        <w:rPr/>
      </w:r>
    </w:p>
    <w:p>
      <w:pPr>
        <w:pStyle w:val="Normal"/>
        <w:spacing w:lineRule="auto" w:line="240"/>
        <w:ind w:start="5040" w:end="0"/>
        <w:rPr>
          <w:rStyle w:val="LineNumber"/>
          <w:color w:val="000000"/>
          <w:sz w:val="24"/>
        </w:rPr>
      </w:pPr>
      <w:r>
        <w:rPr/>
      </w:r>
    </w:p>
    <w:p>
      <w:pPr>
        <w:pStyle w:val="Normal"/>
        <w:spacing w:lineRule="auto" w:line="240"/>
        <w:ind w:start="4320" w:end="0"/>
        <w:rPr/>
      </w:pPr>
      <w:r>
        <w:rPr>
          <w:rStyle w:val="LineNumber"/>
          <w:color w:val="000000"/>
          <w:sz w:val="24"/>
        </w:rPr>
        <w:t>By:</w:t>
        <w:tab/>
        <w:t>/s/</w:t>
        <w:tab/>
        <w:t>Sean Gallagher</w:t>
      </w:r>
    </w:p>
    <w:p>
      <w:pPr>
        <w:pStyle w:val="Normal"/>
        <w:spacing w:lineRule="auto" w:line="240"/>
        <w:ind w:start="5040" w:end="0"/>
        <w:rPr/>
      </w:pPr>
      <w:r>
        <w:rPr>
          <w:rStyle w:val="LineNumber"/>
          <w:color w:val="000000"/>
          <w:sz w:val="24"/>
        </w:rPr>
        <w:t>—————————————</w:t>
      </w:r>
    </w:p>
    <w:p>
      <w:pPr>
        <w:pStyle w:val="Normal"/>
        <w:spacing w:lineRule="auto" w:line="240"/>
        <w:ind w:firstLine="720" w:start="5040" w:end="0"/>
        <w:rPr/>
      </w:pPr>
      <w:r>
        <w:rPr>
          <w:rStyle w:val="LineNumber"/>
          <w:color w:val="000000"/>
          <w:sz w:val="24"/>
        </w:rPr>
        <w:t>SEAN GALLAGHER</w:t>
      </w:r>
    </w:p>
    <w:p>
      <w:pPr>
        <w:pStyle w:val="Normal"/>
        <w:spacing w:lineRule="auto" w:line="240"/>
        <w:ind w:start="5040" w:end="0"/>
        <w:rPr>
          <w:rStyle w:val="LineNumber"/>
          <w:color w:val="000000"/>
          <w:sz w:val="24"/>
        </w:rPr>
      </w:pPr>
      <w:r>
        <w:rPr/>
      </w:r>
    </w:p>
    <w:p>
      <w:pPr>
        <w:pStyle w:val="Normal"/>
        <w:spacing w:lineRule="auto" w:line="240"/>
        <w:ind w:start="5040" w:end="0"/>
        <w:rPr/>
      </w:pPr>
      <w:r>
        <w:rPr>
          <w:rStyle w:val="LineNumber"/>
          <w:color w:val="000000"/>
          <w:sz w:val="24"/>
        </w:rPr>
        <w:t>505 Van Ness Avenue</w:t>
      </w:r>
    </w:p>
    <w:p>
      <w:pPr>
        <w:pStyle w:val="Normal"/>
        <w:spacing w:lineRule="auto" w:line="240"/>
        <w:ind w:start="5040" w:end="0"/>
        <w:rPr/>
      </w:pPr>
      <w:r>
        <w:rPr>
          <w:rStyle w:val="LineNumber"/>
          <w:color w:val="000000"/>
          <w:sz w:val="24"/>
        </w:rPr>
        <w:t>San Francisco, CA  94102</w:t>
      </w:r>
    </w:p>
    <w:p>
      <w:pPr>
        <w:pStyle w:val="Normal"/>
        <w:spacing w:lineRule="auto" w:line="240"/>
        <w:ind w:start="5040" w:end="0"/>
        <w:rPr/>
      </w:pPr>
      <w:r>
        <w:rPr>
          <w:rStyle w:val="LineNumber"/>
          <w:color w:val="000000"/>
          <w:sz w:val="24"/>
        </w:rPr>
        <w:t>Phone: (415) 703-2059</w:t>
      </w:r>
    </w:p>
    <w:p>
      <w:pPr>
        <w:pStyle w:val="Normal"/>
        <w:spacing w:lineRule="auto" w:line="240"/>
        <w:ind w:start="5040" w:end="0"/>
        <w:rPr>
          <w:rStyle w:val="LineNumber"/>
          <w:color w:val="000000"/>
          <w:sz w:val="24"/>
        </w:rPr>
      </w:pPr>
      <w:r>
        <w:rPr/>
      </w:r>
    </w:p>
    <w:p>
      <w:pPr>
        <w:pStyle w:val="Normal"/>
        <w:spacing w:lineRule="auto" w:line="240"/>
        <w:ind w:start="5040" w:end="0"/>
        <w:rPr/>
      </w:pPr>
      <w:r>
        <w:rPr>
          <w:rStyle w:val="LineNumber"/>
          <w:color w:val="000000"/>
          <w:sz w:val="24"/>
        </w:rPr>
        <w:t>Attorneys for the Public Utilities</w:t>
      </w:r>
    </w:p>
    <w:p>
      <w:pPr>
        <w:pStyle w:val="Normal"/>
        <w:spacing w:lineRule="auto" w:line="240"/>
        <w:rPr/>
      </w:pPr>
      <w:r>
        <w:rPr>
          <w:rStyle w:val="LineNumber"/>
          <w:color w:val="000000"/>
          <w:sz w:val="24"/>
        </w:rPr>
        <w:t>May 4, 2001</w:t>
        <w:tab/>
        <w:tab/>
        <w:tab/>
        <w:tab/>
        <w:tab/>
        <w:tab/>
        <w:t>Commission of the State of California</w:t>
      </w:r>
    </w:p>
    <w:p>
      <w:pPr>
        <w:pStyle w:val="Normal"/>
        <w:spacing w:lineRule="auto" w:line="240"/>
        <w:rPr>
          <w:rStyle w:val="LineNumber"/>
          <w:color w:val="000000"/>
          <w:sz w:val="24"/>
        </w:rPr>
      </w:pPr>
      <w:r>
        <w:rPr/>
      </w:r>
    </w:p>
    <w:p>
      <w:pPr>
        <w:sectPr>
          <w:headerReference w:type="default" r:id="rId6"/>
          <w:headerReference w:type="first" r:id="rId7"/>
          <w:footerReference w:type="default" r:id="rId8"/>
          <w:footerReference w:type="first" r:id="rId9"/>
          <w:footnotePr>
            <w:numFmt w:val="decimal"/>
            <w:numRestart w:val="eachSect"/>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auto" w:line="240"/>
        <w:rPr>
          <w:rStyle w:val="LineNumber"/>
          <w:color w:val="000000"/>
          <w:sz w:val="24"/>
        </w:rPr>
      </w:pPr>
      <w:r>
        <w:rPr/>
      </w:r>
    </w:p>
    <w:p>
      <w:pPr>
        <w:pStyle w:val="Normal"/>
        <w:jc w:val="center"/>
        <w:rPr/>
      </w:pPr>
      <w:r>
        <w:rPr>
          <w:b/>
          <w:color w:val="000000"/>
          <w:sz w:val="24"/>
          <w:u w:val="single"/>
        </w:rPr>
        <w:t>CERTIFICATE OF SERVICE</w:t>
      </w:r>
    </w:p>
    <w:p>
      <w:pPr>
        <w:pStyle w:val="Normal"/>
        <w:jc w:val="center"/>
        <w:rPr>
          <w:b/>
          <w:color w:val="000000"/>
          <w:sz w:val="24"/>
          <w:u w:val="single"/>
        </w:rPr>
      </w:pPr>
      <w:r>
        <w:rPr>
          <w:b/>
          <w:color w:val="000000"/>
          <w:sz w:val="24"/>
          <w:u w:val="single"/>
        </w:rPr>
      </w:r>
    </w:p>
    <w:p>
      <w:pPr>
        <w:pStyle w:val="Normal"/>
        <w:tabs>
          <w:tab w:val="left" w:pos="720" w:leader="none"/>
          <w:tab w:val="left" w:pos="4320" w:leader="none"/>
        </w:tabs>
        <w:rPr/>
      </w:pPr>
      <w:r>
        <w:rPr>
          <w:color w:val="000000"/>
          <w:sz w:val="24"/>
        </w:rPr>
        <w:tab/>
        <w:t xml:space="preserve">I hereby certify that I have this day caused the foregoing document to be served </w:t>
      </w:r>
      <w:r>
        <w:rPr>
          <w:color w:val="000000"/>
          <w:spacing w:val="-3"/>
          <w:sz w:val="24"/>
        </w:rPr>
        <w:t>upon all</w:t>
      </w:r>
      <w:r>
        <w:rPr>
          <w:b/>
          <w:color w:val="000000"/>
          <w:spacing w:val="-3"/>
          <w:sz w:val="24"/>
        </w:rPr>
        <w:t xml:space="preserve"> </w:t>
      </w:r>
      <w:r>
        <w:rPr>
          <w:color w:val="000000"/>
          <w:spacing w:val="-3"/>
          <w:sz w:val="24"/>
        </w:rPr>
        <w:t>known pa</w:t>
      </w:r>
      <w:r>
        <w:rPr>
          <w:color w:val="000000"/>
          <w:sz w:val="24"/>
        </w:rPr>
        <w:t>rties of in this proceeding by mailing by first-class a copy properly addressed to each party.</w:t>
      </w:r>
    </w:p>
    <w:p>
      <w:pPr>
        <w:pStyle w:val="Normal"/>
        <w:rPr>
          <w:color w:val="000000"/>
          <w:sz w:val="24"/>
        </w:rPr>
      </w:pPr>
      <w:r>
        <w:rPr>
          <w:color w:val="000000"/>
          <w:sz w:val="24"/>
        </w:rPr>
        <w:tab/>
        <w:t>Dated at San Francisco, California, this 4th day of May, 2001.</w:t>
      </w:r>
    </w:p>
    <w:p>
      <w:pPr>
        <w:pStyle w:val="Normal"/>
        <w:rPr>
          <w:color w:val="000000"/>
          <w:sz w:val="24"/>
        </w:rPr>
      </w:pPr>
      <w:r>
        <w:rPr>
          <w:color w:val="000000"/>
          <w:sz w:val="24"/>
        </w:rPr>
      </w:r>
    </w:p>
    <w:p>
      <w:pPr>
        <w:pStyle w:val="Normal"/>
        <w:spacing w:lineRule="auto" w:line="240"/>
        <w:rPr>
          <w:color w:val="000000"/>
          <w:sz w:val="24"/>
        </w:rPr>
      </w:pPr>
      <w:r>
        <w:rPr>
          <w:color w:val="000000"/>
          <w:sz w:val="24"/>
        </w:rPr>
        <w:tab/>
        <w:tab/>
        <w:tab/>
        <w:tab/>
        <w:tab/>
      </w:r>
    </w:p>
    <w:p>
      <w:pPr>
        <w:pStyle w:val="Normal"/>
        <w:spacing w:lineRule="auto" w:line="240"/>
        <w:rPr>
          <w:rStyle w:val="LineNumber"/>
          <w:color w:val="000000"/>
          <w:sz w:val="24"/>
          <w:u w:val="single"/>
        </w:rPr>
      </w:pPr>
      <w:r>
        <w:rPr>
          <w:color w:val="000000"/>
          <w:sz w:val="24"/>
        </w:rPr>
        <w:tab/>
        <w:tab/>
        <w:tab/>
        <w:tab/>
        <w:tab/>
        <w:t>/s/</w:t>
      </w:r>
      <w:r>
        <w:rPr>
          <w:color w:val="000000"/>
          <w:sz w:val="24"/>
          <w:u w:val="single"/>
        </w:rPr>
        <w:tab/>
        <w:t>Sean Gallagher</w:t>
        <w:tab/>
      </w:r>
    </w:p>
    <w:p>
      <w:pPr>
        <w:pStyle w:val="Normal"/>
        <w:spacing w:lineRule="auto" w:line="240"/>
        <w:ind w:start="4320" w:end="0"/>
        <w:rPr/>
      </w:pPr>
      <w:r>
        <w:rPr>
          <w:rStyle w:val="LineNumber"/>
          <w:color w:val="000000"/>
          <w:sz w:val="24"/>
        </w:rPr>
        <w:t>SEAN GALLAGHER</w:t>
      </w:r>
    </w:p>
    <w:p>
      <w:pPr>
        <w:pStyle w:val="Normal"/>
        <w:spacing w:lineRule="auto" w:line="240"/>
        <w:ind w:start="4320" w:end="0"/>
        <w:rPr>
          <w:rStyle w:val="LineNumber"/>
          <w:color w:val="000000"/>
          <w:sz w:val="24"/>
        </w:rPr>
      </w:pPr>
      <w:r>
        <w:rPr/>
      </w:r>
    </w:p>
    <w:p>
      <w:pPr>
        <w:sectPr>
          <w:headerReference w:type="default" r:id="rId10"/>
          <w:headerReference w:type="first" r:id="rId11"/>
          <w:footerReference w:type="default" r:id="rId12"/>
          <w:footerReference w:type="first" r:id="rId13"/>
          <w:footnotePr>
            <w:numFmt w:val="decimal"/>
            <w:numRestart w:val="eachSect"/>
          </w:footnotePr>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auto" w:line="240"/>
        <w:rPr>
          <w:rStyle w:val="LineNumber"/>
          <w:color w:val="000000"/>
          <w:sz w:val="24"/>
        </w:rPr>
      </w:pPr>
      <w:r>
        <w:rPr/>
      </w:r>
    </w:p>
    <w:p>
      <w:pPr>
        <w:pStyle w:val="Heading"/>
        <w:rPr>
          <w:rStyle w:val="LineNumber"/>
          <w:color w:val="000000"/>
          <w:sz w:val="24"/>
        </w:rPr>
      </w:pPr>
      <w:r>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48"/>
        </w:rPr>
      </w:pPr>
      <w:r>
        <w:rPr>
          <w:sz w:val="48"/>
        </w:rPr>
        <w:t>ATTACHMENT A</w:t>
      </w:r>
      <w:r>
        <w:br w:type="page"/>
      </w:r>
    </w:p>
    <w:p>
      <w:pPr>
        <w:pStyle w:val="Heading"/>
        <w:jc w:val="start"/>
        <w:rPr>
          <w:sz w:val="24"/>
        </w:rPr>
      </w:pPr>
      <w:r>
        <w:rPr>
          <w:sz w:val="24"/>
        </w:rPr>
        <w:t>PUBLIC MEETING &amp; WORKSHOPS</w:t>
      </w:r>
    </w:p>
    <w:p>
      <w:pPr>
        <w:pStyle w:val="Normal"/>
        <w:spacing w:lineRule="auto" w:line="240"/>
        <w:rPr>
          <w:sz w:val="24"/>
        </w:rPr>
      </w:pPr>
      <w:r>
        <w:rPr>
          <w:sz w:val="24"/>
        </w:rPr>
      </w:r>
    </w:p>
    <w:p>
      <w:pPr>
        <w:pStyle w:val="Normal"/>
        <w:spacing w:lineRule="auto" w:line="240"/>
        <w:rPr/>
      </w:pPr>
      <w:r>
        <w:rPr>
          <w:sz w:val="24"/>
        </w:rPr>
        <w:t xml:space="preserve"> </w:t>
      </w:r>
      <w:r>
        <w:rPr>
          <w:b/>
          <w:sz w:val="24"/>
          <w:u w:val="single"/>
        </w:rPr>
        <w:t>Workshop Notice</w:t>
      </w:r>
    </w:p>
    <w:p>
      <w:pPr>
        <w:pStyle w:val="Normal"/>
        <w:spacing w:lineRule="auto" w:line="240"/>
        <w:rPr>
          <w:b/>
          <w:sz w:val="24"/>
          <w:u w:val="single"/>
        </w:rPr>
      </w:pPr>
      <w:r>
        <w:rPr>
          <w:b/>
          <w:sz w:val="24"/>
          <w:u w:val="single"/>
        </w:rPr>
      </w:r>
    </w:p>
    <w:p>
      <w:pPr>
        <w:pStyle w:val="Normal"/>
        <w:spacing w:lineRule="auto" w:line="240"/>
        <w:rPr>
          <w:sz w:val="24"/>
        </w:rPr>
      </w:pPr>
      <w:r>
        <w:rPr>
          <w:sz w:val="24"/>
        </w:rPr>
        <w:t xml:space="preserve">April 19, 2001 </w:t>
        <w:tab/>
        <w:tab/>
        <w:tab/>
        <w:tab/>
        <w:t>California Public Utilities Commission</w:t>
      </w:r>
    </w:p>
    <w:p>
      <w:pPr>
        <w:pStyle w:val="Normal"/>
        <w:spacing w:lineRule="auto" w:line="240"/>
        <w:rPr>
          <w:sz w:val="24"/>
        </w:rPr>
      </w:pPr>
      <w:r>
        <w:rPr>
          <w:sz w:val="24"/>
        </w:rPr>
        <w:t xml:space="preserve">9:30 am </w:t>
        <w:tab/>
        <w:tab/>
        <w:tab/>
        <w:tab/>
        <w:tab/>
        <w:t>505 Van Ness Avenue, Training Room</w:t>
      </w:r>
    </w:p>
    <w:p>
      <w:pPr>
        <w:pStyle w:val="Normal"/>
        <w:spacing w:lineRule="auto" w:line="240"/>
        <w:ind w:firstLine="720" w:start="3600" w:end="0"/>
        <w:rPr>
          <w:sz w:val="24"/>
        </w:rPr>
      </w:pPr>
      <w:r>
        <w:rPr>
          <w:sz w:val="24"/>
        </w:rPr>
        <w:t>(Corner of Van Ness and McAllister)</w:t>
      </w:r>
    </w:p>
    <w:p>
      <w:pPr>
        <w:pStyle w:val="Normal"/>
        <w:spacing w:lineRule="auto" w:line="240"/>
        <w:ind w:firstLine="720" w:start="3600" w:end="0"/>
        <w:rPr>
          <w:sz w:val="24"/>
        </w:rPr>
      </w:pPr>
      <w:r>
        <w:rPr>
          <w:sz w:val="24"/>
        </w:rPr>
        <w:t>San Francisco</w:t>
      </w:r>
    </w:p>
    <w:p>
      <w:pPr>
        <w:pStyle w:val="Normal"/>
        <w:spacing w:lineRule="auto" w:line="240"/>
        <w:rPr>
          <w:sz w:val="24"/>
        </w:rPr>
      </w:pPr>
      <w:r>
        <w:rPr>
          <w:sz w:val="24"/>
        </w:rPr>
      </w:r>
    </w:p>
    <w:p>
      <w:pPr>
        <w:pStyle w:val="Normal"/>
        <w:spacing w:lineRule="auto" w:line="240"/>
        <w:rPr>
          <w:sz w:val="24"/>
        </w:rPr>
      </w:pPr>
      <w:r>
        <w:rPr>
          <w:sz w:val="24"/>
        </w:rPr>
        <w:t xml:space="preserve">Pursuant to Decision 01-03-067, dated March 27, 2001, the Energy Division has scheduled a workshop on the Gas Index which is used in calculating short run avoided cost (SRAC) payments to Qualifying Facilities (QFs). The workshop will begin at 9:30 a.m. of Thursday, April 19, 2001. It will be held in the Training Room at the California Public Utilities Commission at 505 Van Ness Avenue, San Francisco. The workshop is designed to: </w:t>
      </w:r>
    </w:p>
    <w:p>
      <w:pPr>
        <w:pStyle w:val="Normal"/>
        <w:numPr>
          <w:ilvl w:val="0"/>
          <w:numId w:val="2"/>
        </w:numPr>
        <w:spacing w:lineRule="auto" w:line="240"/>
        <w:rPr>
          <w:sz w:val="24"/>
        </w:rPr>
      </w:pPr>
      <w:r>
        <w:rPr>
          <w:sz w:val="24"/>
        </w:rPr>
        <w:t xml:space="preserve">Provide more information for the Commission, to assist in its deciding upon an appropriate way to implement Section 390, comply with the requirements of PURPA, and provide adequate financial coverage for gas-burning QFs. </w:t>
      </w:r>
    </w:p>
    <w:p>
      <w:pPr>
        <w:pStyle w:val="Normal"/>
        <w:numPr>
          <w:ilvl w:val="0"/>
          <w:numId w:val="2"/>
        </w:numPr>
        <w:spacing w:lineRule="auto" w:line="240"/>
        <w:rPr>
          <w:sz w:val="24"/>
        </w:rPr>
      </w:pPr>
      <w:r>
        <w:rPr>
          <w:sz w:val="24"/>
        </w:rPr>
        <w:t xml:space="preserve">Promote discussion among parties, to advance, to the degree possible, a convergence of opinion. </w:t>
      </w:r>
    </w:p>
    <w:p>
      <w:pPr>
        <w:pStyle w:val="Normal"/>
        <w:spacing w:lineRule="auto" w:line="240"/>
        <w:rPr>
          <w:sz w:val="24"/>
        </w:rPr>
      </w:pPr>
      <w:r>
        <w:rPr>
          <w:sz w:val="24"/>
        </w:rPr>
      </w:r>
    </w:p>
    <w:p>
      <w:pPr>
        <w:pStyle w:val="Normal"/>
        <w:spacing w:lineRule="auto" w:line="240"/>
        <w:rPr>
          <w:sz w:val="24"/>
        </w:rPr>
      </w:pPr>
      <w:r>
        <w:rPr>
          <w:sz w:val="24"/>
        </w:rPr>
        <w:t>The workshop is open to the public and is wheelchair accessible. For more information contact James Loewen of the Energy Division (e-mail: LOE@CPUC.CA.GOV; phone: 415-703-1866).</w:t>
      </w:r>
    </w:p>
    <w:p>
      <w:pPr>
        <w:pStyle w:val="Normal"/>
        <w:spacing w:lineRule="auto" w:line="240"/>
        <w:rPr>
          <w:sz w:val="24"/>
        </w:rPr>
      </w:pPr>
      <w:r>
        <w:rPr>
          <w:sz w:val="24"/>
        </w:rPr>
      </w:r>
    </w:p>
    <w:p>
      <w:pPr>
        <w:pStyle w:val="Normal"/>
        <w:spacing w:lineRule="auto" w:line="240"/>
        <w:rPr>
          <w:rStyle w:val="LineNumber"/>
          <w:color w:val="000000"/>
          <w:sz w:val="24"/>
        </w:rPr>
      </w:pPr>
      <w:r>
        <w:rPr>
          <w:sz w:val="24"/>
        </w:rPr>
      </w:r>
    </w:p>
    <w:sectPr>
      <w:headerReference w:type="default" r:id="rId14"/>
      <w:headerReference w:type="first" r:id="rId15"/>
      <w:footerReference w:type="default" r:id="rId16"/>
      <w:footerReference w:type="first" r:id="rId17"/>
      <w:footnotePr>
        <w:numFmt w:val="decimal"/>
        <w:numRestart w:val="eachSect"/>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Palatino">
    <w:altName w:val="Book Antiqua"/>
    <w:charset w:val="00" w:characterSet="windows-1252"/>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345"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9334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65100" cy="189230"/>
              <wp:effectExtent l="0" t="0" r="0" b="0"/>
              <wp:wrapSquare wrapText="bothSides"/>
              <wp:docPr id="3" name="Frame2"/>
              <a:graphic xmlns:a="http://schemas.openxmlformats.org/drawingml/2006/main">
                <a:graphicData uri="http://schemas.microsoft.com/office/word/2010/wordprocessingShape">
                  <wps:wsp>
                    <wps:cNvSpPr txBox="1"/>
                    <wps:spPr>
                      <a:xfrm>
                        <a:off x="0" y="0"/>
                        <a:ext cx="165100" cy="1892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pt;height:14.9pt;mso-wrap-distance-left:0pt;mso-wrap-distance-right:0pt;mso-wrap-distance-top:0pt;mso-wrap-distance-bottom:0pt;margin-top:0.05pt;mso-position-vertical-relative:text;margin-left:227.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7165"/>
              <wp:effectExtent l="0" t="0" r="0" b="0"/>
              <wp:wrapSquare wrapText="bothSides"/>
              <wp:docPr id="5" name="Frame4"/>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sz w:val="24"/>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CPUC is advised that SDG&amp;E has always been current on its payments to QFs.</w:t>
      </w:r>
    </w:p>
  </w:footnote>
  <w:footnote w:id="3">
    <w:p>
      <w:pPr>
        <w:pStyle w:val="FootnoteText"/>
        <w:rPr/>
      </w:pPr>
      <w:r>
        <w:rPr>
          <w:rStyle w:val="FootnoteCharacters"/>
        </w:rPr>
        <w:footnoteRef/>
      </w:r>
      <w:r>
        <w:rPr/>
        <w:t xml:space="preserve"> </w:t>
      </w:r>
      <w:r>
        <w:rPr/>
        <w:t xml:space="preserve">While the QFs complain in this action that the CPUC has set avoided costs too low, FERC has previously been critical of the CPUC for engaging in a process resulting in setting avoided costs at a level which may have been too high.  </w:t>
      </w:r>
      <w:r>
        <w:rPr>
          <w:u w:val="single"/>
        </w:rPr>
        <w:t>Southern California Edison Company</w:t>
      </w:r>
      <w:r>
        <w:rPr/>
        <w:t>, 70 FERC ¶ 61,215 (1995).  That decision contributed to the tight supply conditions which California now faces.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double" w:sz="6" w:space="1" w:color="000000"/>
      </w:pBdr>
      <w:tabs>
        <w:tab w:val="clear" w:pos="720"/>
        <w:tab w:val="left" w:pos="8280" w:leader="none"/>
        <w:tab w:val="left" w:pos="8370" w:leader="none"/>
        <w:tab w:val="right" w:pos="11070" w:leader="none"/>
      </w:tabs>
      <w:spacing w:lineRule="auto" w:line="240"/>
      <w:ind w:end="-720"/>
      <w:rPr/>
    </w:pPr>
    <w:r>
      <w:rPr>
        <w:rFonts w:cs="Arial" w:ascii="Arial" w:hAnsi="Arial"/>
        <w:sz w:val="16"/>
      </w:rPr>
      <w:t>STATE OF CALIFORNIA</w:t>
    </w:r>
    <w:r>
      <w:rPr>
        <w:rFonts w:cs="Arial" w:ascii="Arial" w:hAnsi="Arial"/>
      </w:rPr>
      <w:tab/>
    </w:r>
    <w:r>
      <w:rPr>
        <w:rFonts w:cs="Arial" w:ascii="Arial" w:hAnsi="Arial"/>
        <w:sz w:val="16"/>
      </w:rPr>
      <w:t>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lineRule="auto" w:line="24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lineRule="auto" w:line="240"/>
      <w:rPr>
        <w:rFonts w:ascii="Arial" w:hAnsi="Arial" w:cs="Arial"/>
        <w:sz w:val="12"/>
      </w:rPr>
    </w:pPr>
    <w:r>
      <w:rPr>
        <w:rFonts w:cs="Arial" w:ascii="Arial" w:hAnsi="Arial"/>
        <w:sz w:val="12"/>
      </w:rPr>
      <w:t>505 VAN NESS AVENUE</w:t>
    </w:r>
  </w:p>
  <w:p>
    <w:pPr>
      <w:pStyle w:val="Header"/>
      <w:spacing w:lineRule="auto" w:line="240"/>
      <w:rPr>
        <w:rFonts w:ascii="Arial" w:hAnsi="Arial" w:cs="Arial"/>
        <w:sz w:val="12"/>
      </w:rPr>
    </w:pPr>
    <w:r>
      <w:rPr>
        <w:rFonts w:cs="Arial" w:ascii="Arial" w:hAnsi="Arial"/>
        <w:sz w:val="12"/>
      </w:rPr>
      <w:t>SAN FRANCISCO, CA  94102-3298</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footnotePr>
    <w:numFmt w:val="decimal"/>
    <w:numRestart w:val="eachSect"/>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BodyText"/>
    <w:qFormat/>
    <w:pPr>
      <w:keepNext w:val="true"/>
      <w:numPr>
        <w:ilvl w:val="0"/>
        <w:numId w:val="1"/>
      </w:numPr>
      <w:spacing w:lineRule="auto" w:line="240" w:before="0" w:after="240"/>
      <w:outlineLvl w:val="0"/>
    </w:pPr>
    <w:rPr>
      <w:b/>
      <w:kern w:val="2"/>
      <w:sz w:val="24"/>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Symbol" w:hAnsi="Symbol" w:cs="Times New Roman"/>
      <w:sz w:val="22"/>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8z0">
    <w:name w:val="WW8Num8z0"/>
    <w:qFormat/>
    <w:rPr>
      <w:rFonts w:ascii="Symbol" w:hAnsi="Symbol" w:cs="Symbol"/>
      <w:sz w:val="20"/>
    </w:rPr>
  </w:style>
  <w:style w:type="character" w:styleId="WW8Num9z0">
    <w:name w:val="WW8Num9z0"/>
    <w:qFormat/>
    <w:rPr>
      <w:rFonts w:ascii="Symbol" w:hAnsi="Symbol" w:cs="Times New Roman"/>
      <w:sz w:val="22"/>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21z0">
    <w:name w:val="WW8Num21z0"/>
    <w:qFormat/>
    <w:rPr>
      <w:rFonts w:ascii="Symbol" w:hAnsi="Symbol" w:cs="Symbol"/>
    </w:rPr>
  </w:style>
  <w:style w:type="character" w:styleId="WW8Num23z0">
    <w:name w:val="WW8Num23z0"/>
    <w:qFormat/>
    <w:rPr>
      <w:rFonts w:ascii="Symbol" w:hAnsi="Symbol" w:cs="Symbol"/>
    </w:rPr>
  </w:style>
  <w:style w:type="character" w:styleId="WW8Num28z0">
    <w:name w:val="WW8Num28z0"/>
    <w:qFormat/>
    <w:rPr>
      <w:rFonts w:ascii="Symbol" w:hAnsi="Symbol" w:cs="Symbol"/>
    </w:rPr>
  </w:style>
  <w:style w:type="character" w:styleId="WW8NumSt2z0">
    <w:name w:val="WW8NumSt2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character" w:styleId="FootnoteCharacters">
    <w:name w:val="Footnote Characters"/>
    <w:basedOn w:val="DefaultParagraphFont"/>
    <w:qFormat/>
    <w:rPr>
      <w:vertAlign w:val="superscript"/>
    </w:rPr>
  </w:style>
  <w:style w:type="character" w:styleId="term1">
    <w:name w:val="term1"/>
    <w:basedOn w:val="DefaultParagraphFont"/>
    <w:qFormat/>
    <w:rPr>
      <w:b/>
      <w:bCs/>
    </w:rPr>
  </w:style>
  <w:style w:type="character" w:styleId="pmterms21">
    <w:name w:val="pmterms21"/>
    <w:basedOn w:val="DefaultParagraphFont"/>
    <w:qFormat/>
    <w:rPr>
      <w:b/>
      <w:bCs/>
      <w:i w:val="false"/>
      <w:iCs w:val="false"/>
      <w:color w:val="000000"/>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240"/>
      <w:jc w:val="center"/>
    </w:pPr>
    <w:rPr>
      <w:b/>
      <w:sz w:val="20"/>
    </w:rPr>
  </w:style>
  <w:style w:type="paragraph" w:styleId="BodyText">
    <w:name w:val="Body Text"/>
    <w:basedOn w:val="Normal"/>
    <w:pPr>
      <w:ind w:firstLine="720" w:start="0" w:end="0"/>
    </w:pPr>
    <w:rPr>
      <w:sz w:val="24"/>
    </w:rPr>
  </w:style>
  <w:style w:type="paragraph" w:styleId="List">
    <w:name w:val="List"/>
    <w:basedOn w:val="BodyText"/>
    <w:pPr/>
    <w:rPr>
      <w:rFonts w:cs="NotoSans NF"/>
    </w:rPr>
  </w:style>
  <w:style w:type="paragraph" w:styleId="Caption">
    <w:name w:val="caption"/>
    <w:basedOn w:val="BodyText"/>
    <w:qFormat/>
    <w:pPr>
      <w:tabs>
        <w:tab w:val="clear" w:pos="720"/>
        <w:tab w:val="left" w:pos="4320" w:leader="none"/>
        <w:tab w:val="left" w:pos="5040" w:leader="none"/>
      </w:tabs>
      <w:spacing w:lineRule="auto" w:line="240" w:before="0" w:after="0"/>
    </w:pPr>
    <w:rPr>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ignature">
    <w:name w:val="Signature"/>
    <w:basedOn w:val="Normal"/>
    <w:pPr>
      <w:keepNext w:val="true"/>
      <w:keepLines/>
      <w:ind w:firstLine="720" w:start="4320" w:end="0"/>
    </w:pPr>
    <w:rPr>
      <w:rFonts w:ascii="Arial" w:hAnsi="Arial" w:cs="Arial"/>
      <w:sz w:val="24"/>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spacing w:lineRule="auto" w:line="240"/>
    </w:pPr>
    <w:rPr>
      <w:sz w:val="20"/>
    </w:rPr>
  </w:style>
  <w:style w:type="paragraph" w:styleId="Quotation">
    <w:name w:val="Quotation"/>
    <w:basedOn w:val="BodyText"/>
    <w:next w:val="BodyText"/>
    <w:qFormat/>
    <w:pPr>
      <w:spacing w:lineRule="auto" w:line="240"/>
      <w:ind w:hanging="0" w:start="1440" w:end="1440"/>
    </w:pPr>
    <w:rPr/>
  </w:style>
  <w:style w:type="paragraph" w:styleId="TOC1">
    <w:name w:val="toc 1"/>
    <w:basedOn w:val="Normal"/>
    <w:next w:val="Normal"/>
    <w:pPr>
      <w:keepNext w:val="true"/>
      <w:tabs>
        <w:tab w:val="clear" w:pos="720"/>
        <w:tab w:val="right" w:pos="8640" w:leader="dot"/>
      </w:tabs>
      <w:suppressAutoHyphens w:val="true"/>
      <w:spacing w:lineRule="auto" w:line="240" w:before="120" w:after="120"/>
      <w:ind w:hanging="360" w:start="360" w:end="1440"/>
    </w:pPr>
    <w:rPr>
      <w:b/>
      <w:caps/>
      <w:lang w:val="en-CA" w:eastAsia="en-CA"/>
    </w:rPr>
  </w:style>
  <w:style w:type="paragraph" w:styleId="PlainText">
    <w:name w:val="Plain Text"/>
    <w:basedOn w:val="Normal"/>
    <w:qFormat/>
    <w:pPr>
      <w:spacing w:lineRule="auto" w:line="240"/>
    </w:pPr>
    <w:rPr>
      <w:rFonts w:ascii="Courier New" w:hAnsi="Courier New" w:cs="Courier New"/>
      <w:sz w:val="20"/>
    </w:rPr>
  </w:style>
  <w:style w:type="paragraph" w:styleId="BodyText2">
    <w:name w:val="Body Text 2"/>
    <w:basedOn w:val="Normal"/>
    <w:qFormat/>
    <w:pPr>
      <w:spacing w:lineRule="auto" w:line="240"/>
    </w:pPr>
    <w:rPr>
      <w:sz w:val="24"/>
    </w:rPr>
  </w:style>
  <w:style w:type="paragraph" w:styleId="BodyTextIndent">
    <w:name w:val="Body Text Indent"/>
    <w:basedOn w:val="Normal"/>
    <w:pPr>
      <w:ind w:firstLine="720" w:start="0" w:end="0"/>
    </w:pPr>
    <w:rPr>
      <w:sz w:val="24"/>
    </w:rPr>
  </w:style>
  <w:style w:type="paragraph" w:styleId="BodyTextIndent2">
    <w:name w:val="Body Text Indent 2"/>
    <w:basedOn w:val="Normal"/>
    <w:qFormat/>
    <w:pPr>
      <w:ind w:firstLine="720" w:start="0" w:end="0"/>
    </w:pPr>
    <w:rPr/>
  </w:style>
  <w:style w:type="paragraph" w:styleId="BodyTextIndent3">
    <w:name w:val="Body Text Indent 3"/>
    <w:basedOn w:val="Normal"/>
    <w:qFormat/>
    <w:pPr>
      <w:ind w:firstLine="360" w:start="0" w:end="0"/>
    </w:pPr>
    <w:rPr>
      <w:color w:val="0000FF"/>
    </w:rPr>
  </w:style>
  <w:style w:type="paragraph" w:styleId="standard">
    <w:name w:val="standard"/>
    <w:basedOn w:val="Normal"/>
    <w:qFormat/>
    <w:pPr>
      <w:spacing w:lineRule="auto" w:line="360"/>
      <w:ind w:firstLine="720" w:start="0" w:end="0"/>
    </w:pPr>
    <w:rPr>
      <w:rFonts w:ascii="Palatino;Book Antiqua" w:hAnsi="Palatino;Book Antiqua" w:cs="Palatino;Book Antiqua"/>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rFonts w:ascii="Palatino;Book Antiqua" w:hAnsi="Palatino;Book Antiqua" w:cs="Palatino;Book Antiqua"/>
    </w:rPr>
  </w:style>
  <w:style w:type="paragraph" w:styleId="letter">
    <w:name w:val="letter"/>
    <w:basedOn w:val="num1"/>
    <w:qFormat/>
    <w:pPr>
      <w:numPr>
        <w:ilvl w:val="0"/>
        <w:numId w:val="4"/>
      </w:numPr>
      <w:spacing w:lineRule="auto" w:line="240" w:before="0" w:after="120"/>
      <w:ind w:hanging="274" w:start="994" w:end="0"/>
    </w:pPr>
    <w:rPr/>
  </w:style>
  <w:style w:type="paragraph" w:styleId="main">
    <w:name w:val="main"/>
    <w:basedOn w:val="Normal"/>
    <w:qFormat/>
    <w:pPr>
      <w:spacing w:lineRule="auto" w:line="240"/>
      <w:jc w:val="center"/>
    </w:pPr>
    <w:rPr>
      <w:rFonts w:ascii="Helvetica" w:hAnsi="Helvetica" w:cs="Helvetica"/>
      <w:b/>
    </w:rPr>
  </w:style>
  <w:style w:type="paragraph" w:styleId="mainex">
    <w:name w:val="mainex"/>
    <w:basedOn w:val="main"/>
    <w:qFormat/>
    <w:pPr/>
    <w:rPr>
      <w:spacing w:val="120"/>
    </w:rPr>
  </w:style>
  <w:style w:type="paragraph" w:styleId="num2">
    <w:name w:val="num2"/>
    <w:basedOn w:val="num1"/>
    <w:qFormat/>
    <w:pPr>
      <w:ind w:firstLine="180" w:start="0" w:end="0"/>
    </w:pPr>
    <w:rPr/>
  </w:style>
  <w:style w:type="paragraph" w:styleId="sub1">
    <w:name w:val="sub1"/>
    <w:basedOn w:val="Normal"/>
    <w:qFormat/>
    <w:pPr>
      <w:spacing w:lineRule="auto" w:line="360"/>
      <w:ind w:firstLine="1440" w:start="0" w:end="0"/>
    </w:pPr>
    <w:rPr>
      <w:rFonts w:ascii="Palatino;Book Antiqua" w:hAnsi="Palatino;Book Antiqua" w:cs="Palatino;Book Antiqua"/>
    </w:rPr>
  </w:style>
  <w:style w:type="paragraph" w:styleId="sub2">
    <w:name w:val="sub2"/>
    <w:basedOn w:val="Normal"/>
    <w:qFormat/>
    <w:pPr>
      <w:spacing w:lineRule="auto" w:line="360"/>
      <w:ind w:firstLine="2160" w:start="0" w:end="0"/>
    </w:pPr>
    <w:rPr>
      <w:rFonts w:ascii="Palatino;Book Antiqua" w:hAnsi="Palatino;Book Antiqua" w:cs="Palatino;Book Antiqua"/>
    </w:rPr>
  </w:style>
  <w:style w:type="paragraph" w:styleId="sub3">
    <w:name w:val="sub3"/>
    <w:basedOn w:val="Normal"/>
    <w:qFormat/>
    <w:pPr>
      <w:spacing w:lineRule="auto" w:line="360"/>
      <w:ind w:firstLine="2880" w:start="0" w:end="0"/>
    </w:pPr>
    <w:rPr>
      <w:rFonts w:ascii="Palatino;Book Antiqua" w:hAnsi="Palatino;Book Antiqua" w:cs="Palatino;Book Antiqua"/>
    </w:rPr>
  </w:style>
  <w:style w:type="paragraph" w:styleId="sub4">
    <w:name w:val="sub4"/>
    <w:basedOn w:val="Normal"/>
    <w:qFormat/>
    <w:pPr>
      <w:spacing w:lineRule="auto" w:line="360"/>
      <w:ind w:firstLine="3600" w:start="0" w:end="0"/>
    </w:pPr>
    <w:rPr>
      <w:rFonts w:ascii="Palatino;Book Antiqua" w:hAnsi="Palatino;Book Antiqua" w:cs="Palatino;Book Antiqu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2001-10-01T17:51:00Z</dcterms:created>
  <dc:creator>SHG</dc:creator>
  <dc:description/>
  <dc:language>en-CA</dc:language>
  <cp:lastModifiedBy>jthome</cp:lastModifiedBy>
  <cp:lastPrinted>2001-03-29T12:02:00Z</cp:lastPrinted>
  <dcterms:modified xsi:type="dcterms:W3CDTF">2001-10-01T17:51:00Z</dcterms:modified>
  <cp:revision>2</cp:revision>
  <dc:subject/>
  <dc:title>mot for Clarif/App for Rehearing of 10/28 FERC order</dc:title>
</cp:coreProperties>
</file>