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sz w:val="24"/>
        </w:rPr>
      </w:pPr>
      <w:r>
        <w:rPr>
          <w:sz w:val="24"/>
        </w:rPr>
      </w:r>
    </w:p>
    <w:p>
      <w:pPr>
        <w:pStyle w:val="Normal"/>
        <w:widowControl/>
        <w:rPr>
          <w:sz w:val="24"/>
        </w:rPr>
      </w:pPr>
      <w:r>
        <w:rPr>
          <w:sz w:val="24"/>
        </w:rPr>
        <w:t>New §824m (Section 213 of the Federal Power Act) added to 16 USC:</w:t>
      </w:r>
    </w:p>
    <w:p>
      <w:pPr>
        <w:pStyle w:val="Normal"/>
        <w:widowControl/>
        <w:rPr>
          <w:sz w:val="24"/>
        </w:rPr>
      </w:pPr>
      <w:r>
        <w:rPr>
          <w:sz w:val="24"/>
        </w:rPr>
      </w:r>
    </w:p>
    <w:p>
      <w:pPr>
        <w:pStyle w:val="Normal"/>
        <w:widowControl/>
        <w:rPr>
          <w:sz w:val="24"/>
        </w:rPr>
      </w:pPr>
      <w:r>
        <w:rPr>
          <w:sz w:val="24"/>
        </w:rPr>
        <w:t>REGIONAL TRANSMISSION ORGANIZATIONS</w:t>
      </w:r>
    </w:p>
    <w:p>
      <w:pPr>
        <w:pStyle w:val="Normal"/>
        <w:widowControl/>
        <w:rPr>
          <w:sz w:val="24"/>
        </w:rPr>
      </w:pPr>
      <w:r>
        <w:rPr>
          <w:sz w:val="24"/>
        </w:rPr>
      </w:r>
    </w:p>
    <w:p>
      <w:pPr>
        <w:pStyle w:val="BodyText"/>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fldChar w:fldCharType="begin"/>
      </w:r>
      <w:r>
        <w:rPr/>
        <w:instrText xml:space="preserve"> SEQ 1_0 \* alphabetic </w:instrText>
      </w:r>
      <w:r>
        <w:rPr/>
        <w:fldChar w:fldCharType="separate"/>
      </w:r>
      <w:r>
        <w:rPr/>
        <w:t>a</w:t>
      </w:r>
      <w:r>
        <w:rPr/>
        <w:fldChar w:fldCharType="end"/>
      </w:r>
      <w:r>
        <w:rPr/>
        <w:t>)</w:t>
        <w:tab/>
        <w:t xml:space="preserve">For purposes of this section only, “transmission entity” means </w:t>
      </w:r>
      <w:r>
        <w:rPr>
          <w:rFonts w:cs="Symbol" w:ascii="Symbol" w:hAnsi="Symbol"/>
        </w:rPr>
        <w:sym w:font="Symbol" w:char="f0bc"/>
      </w:r>
      <w:r>
        <w:rPr/>
        <w:t xml:space="preserve"> [everyone, including ERCOT]</w:t>
      </w:r>
    </w:p>
    <w:p>
      <w:pPr>
        <w:pStyle w:val="BodyText"/>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fldChar w:fldCharType="begin"/>
      </w:r>
      <w:r>
        <w:rPr/>
        <w:instrText xml:space="preserve"> SEQ 1_0 \* alphabetic </w:instrText>
      </w:r>
      <w:r>
        <w:rPr/>
        <w:fldChar w:fldCharType="separate"/>
      </w:r>
      <w:r>
        <w:rPr/>
        <w:t>b</w:t>
      </w:r>
      <w:r>
        <w:rPr/>
        <w:fldChar w:fldCharType="end"/>
      </w:r>
      <w:r>
        <w:rPr/>
        <w:t>)</w:t>
        <w:tab/>
        <w:t>No later than 120 days following enactment, each transmission entity must join a regional transmission organization (RTO) [as defined in FERC Order No. 2000]</w:t>
      </w:r>
    </w:p>
    <w:p>
      <w:pPr>
        <w:pStyle w:val="BodyText"/>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fldChar w:fldCharType="begin"/>
      </w:r>
      <w:r>
        <w:rPr/>
        <w:instrText xml:space="preserve"> SEQ 1_0 \* alphabetic </w:instrText>
      </w:r>
      <w:r>
        <w:rPr/>
        <w:fldChar w:fldCharType="separate"/>
      </w:r>
      <w:r>
        <w:rPr/>
        <w:t>c</w:t>
      </w:r>
      <w:r>
        <w:rPr/>
        <w:fldChar w:fldCharType="end"/>
      </w:r>
      <w:r>
        <w:rPr/>
        <w:t>)</w:t>
        <w:tab/>
        <w:t>No later than 180 days following enactment, each RTO must file a tariff at FERC which demonstrates the following:</w:t>
      </w:r>
    </w:p>
    <w:p>
      <w:pPr>
        <w:pStyle w:val="BodyText"/>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rPr/>
      </w:pPr>
      <w:r>
        <w:rPr/>
        <w:fldChar w:fldCharType="begin"/>
      </w:r>
      <w:r>
        <w:rPr/>
        <w:instrText xml:space="preserve"> SEQ 2_0 \* ARABIC </w:instrText>
      </w:r>
      <w:r>
        <w:rPr/>
        <w:fldChar w:fldCharType="separate"/>
      </w:r>
      <w:r>
        <w:rPr/>
        <w:t>1</w:t>
      </w:r>
      <w:r>
        <w:rPr/>
        <w:fldChar w:fldCharType="end"/>
      </w:r>
      <w:r>
        <w:rPr/>
        <w:t>)</w:t>
        <w:tab/>
        <w:t>that the RTO has been formed in full compliance with FERC Order No. 2000 principles;</w:t>
      </w:r>
    </w:p>
    <w:p>
      <w:pPr>
        <w:pStyle w:val="BodyText"/>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rPr/>
      </w:pPr>
      <w:r>
        <w:rPr/>
        <w:fldChar w:fldCharType="begin"/>
      </w:r>
      <w:r>
        <w:rPr/>
        <w:instrText xml:space="preserve"> SEQ 2_0 \* ARABIC </w:instrText>
      </w:r>
      <w:r>
        <w:rPr/>
        <w:fldChar w:fldCharType="separate"/>
      </w:r>
      <w:r>
        <w:rPr/>
        <w:t>2</w:t>
      </w:r>
      <w:r>
        <w:rPr/>
        <w:fldChar w:fldCharType="end"/>
      </w:r>
      <w:r>
        <w:rPr/>
        <w:t>)</w:t>
        <w:tab/>
        <w:t>that the RTO has sole operational control of all transmission assets and that all such assets are completely separate from other functions performed by the owners of such assets;</w:t>
      </w:r>
    </w:p>
    <w:p>
      <w:pPr>
        <w:pStyle w:val="BodyText"/>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rPr/>
      </w:pPr>
      <w:r>
        <w:rPr/>
        <w:fldChar w:fldCharType="begin"/>
      </w:r>
      <w:r>
        <w:rPr/>
        <w:instrText xml:space="preserve"> SEQ 2_0 \* ARABIC </w:instrText>
      </w:r>
      <w:r>
        <w:rPr/>
        <w:fldChar w:fldCharType="separate"/>
      </w:r>
      <w:r>
        <w:rPr/>
        <w:t>3</w:t>
      </w:r>
      <w:r>
        <w:rPr/>
        <w:fldChar w:fldCharType="end"/>
      </w:r>
      <w:r>
        <w:rPr/>
        <w:t>)</w:t>
        <w:tab/>
        <w:t>that all users of transmission facilities within the RTO have non-discriminatory access to the electric transmission grid under non-discriminatory rates, terms and conditions;</w:t>
      </w:r>
    </w:p>
    <w:p>
      <w:pPr>
        <w:pStyle w:val="BodyText"/>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rPr/>
      </w:pPr>
      <w:r>
        <w:rPr/>
        <w:fldChar w:fldCharType="begin"/>
      </w:r>
      <w:r>
        <w:rPr/>
        <w:instrText xml:space="preserve"> SEQ 2_0 \* ARABIC </w:instrText>
      </w:r>
      <w:r>
        <w:rPr/>
        <w:fldChar w:fldCharType="separate"/>
      </w:r>
      <w:r>
        <w:rPr/>
        <w:t>4</w:t>
      </w:r>
      <w:r>
        <w:rPr/>
        <w:fldChar w:fldCharType="end"/>
      </w:r>
      <w:r>
        <w:rPr/>
        <w:t>)</w:t>
        <w:tab/>
        <w:t>that the RTO has adopted a non-discriminatory curtailment policy for all users of the RTO-administered facilities;</w:t>
      </w:r>
    </w:p>
    <w:p>
      <w:pPr>
        <w:pStyle w:val="BodyText"/>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rPr/>
      </w:pPr>
      <w:r>
        <w:rPr/>
        <w:fldChar w:fldCharType="begin"/>
      </w:r>
      <w:r>
        <w:rPr/>
        <w:instrText xml:space="preserve"> SEQ 2_0 \* ARABIC </w:instrText>
      </w:r>
      <w:r>
        <w:rPr/>
        <w:fldChar w:fldCharType="separate"/>
      </w:r>
      <w:r>
        <w:rPr/>
        <w:t>5</w:t>
      </w:r>
      <w:r>
        <w:rPr/>
        <w:fldChar w:fldCharType="end"/>
      </w:r>
      <w:r>
        <w:rPr/>
        <w:t>)</w:t>
        <w:tab/>
        <w:t>that all information about all transmission uses and available capacity and such other information as FERC may determine to be necessary shall be contemporaneously and publicly disclosed by the RTO;</w:t>
      </w:r>
    </w:p>
    <w:p>
      <w:pPr>
        <w:pStyle w:val="BodyText"/>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rPr/>
      </w:pPr>
      <w:r>
        <w:rPr/>
        <w:fldChar w:fldCharType="begin"/>
      </w:r>
      <w:r>
        <w:rPr/>
        <w:instrText xml:space="preserve"> SEQ 2_0 \* ARABIC </w:instrText>
      </w:r>
      <w:r>
        <w:rPr/>
        <w:fldChar w:fldCharType="separate"/>
      </w:r>
      <w:r>
        <w:rPr/>
        <w:t>6</w:t>
      </w:r>
      <w:r>
        <w:rPr/>
        <w:fldChar w:fldCharType="end"/>
      </w:r>
      <w:r>
        <w:rPr/>
        <w:t>)</w:t>
        <w:tab/>
        <w:t xml:space="preserve">that the RTO and corresponding state commissions have an effective procedure to assess transmission needs, require construction of facilities to serve all firm loads, and approve siting of such facilities; and, </w:t>
      </w:r>
    </w:p>
    <w:p>
      <w:pPr>
        <w:pStyle w:val="BodyText"/>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rPr/>
      </w:pPr>
      <w:r>
        <w:rPr/>
        <w:fldChar w:fldCharType="begin"/>
      </w:r>
      <w:r>
        <w:rPr/>
        <w:instrText xml:space="preserve"> SEQ 2_0 \* ARABIC </w:instrText>
      </w:r>
      <w:r>
        <w:rPr/>
        <w:fldChar w:fldCharType="separate"/>
      </w:r>
      <w:r>
        <w:rPr/>
        <w:t>7</w:t>
      </w:r>
      <w:r>
        <w:rPr/>
        <w:fldChar w:fldCharType="end"/>
      </w:r>
      <w:r>
        <w:rPr/>
        <w:t>)</w:t>
        <w:tab/>
        <w:t>that the RTO and corresponding state commission will monitor and enforce this section through appropriate remedies through use of expedited and emergency dispute resolution procedures.</w:t>
      </w:r>
    </w:p>
    <w:p>
      <w:pPr>
        <w:pStyle w:val="BodyText"/>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b/>
          <w:bCs/>
        </w:rPr>
        <w:fldChar w:fldCharType="begin"/>
      </w:r>
      <w:r>
        <w:rPr>
          <w:b/>
          <w:bCs/>
        </w:rPr>
        <w:instrText xml:space="preserve"> SEQ 1_0 \* alphabetic </w:instrText>
      </w:r>
      <w:r>
        <w:rPr>
          <w:b/>
          <w:bCs/>
        </w:rPr>
        <w:fldChar w:fldCharType="separate"/>
      </w:r>
      <w:r>
        <w:rPr>
          <w:b/>
          <w:bCs/>
        </w:rPr>
        <w:t>h</w:t>
      </w:r>
      <w:r>
        <w:rPr>
          <w:b/>
          <w:bCs/>
        </w:rPr>
        <w:fldChar w:fldCharType="end"/>
      </w:r>
      <w:r>
        <w:rPr>
          <w:b/>
          <w:bCs/>
        </w:rPr>
        <w:t>)</w:t>
        <w:tab/>
        <w:t xml:space="preserve">Transmission rates established under subsection (c)(3) shall be established by the RTO and approved by the corresponding state commissions.  If such rates are deemed not approved by at least two thirds of participating state commissions, all transmission entities shall file cost data with the RTO filing under subsection (c) for the FERC to establish the transmission rate. </w:t>
      </w:r>
    </w:p>
    <w:p>
      <w:pPr>
        <w:pStyle w:val="BodyText"/>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fldChar w:fldCharType="begin"/>
      </w:r>
      <w:r>
        <w:rPr/>
        <w:instrText xml:space="preserve"> SEQ 1_0 \* alphabetic </w:instrText>
      </w:r>
      <w:r>
        <w:rPr/>
        <w:fldChar w:fldCharType="separate"/>
      </w:r>
      <w:r>
        <w:rPr/>
        <w:t>i</w:t>
      </w:r>
      <w:r>
        <w:rPr/>
        <w:fldChar w:fldCharType="end"/>
      </w:r>
      <w:r>
        <w:rPr/>
        <w:t>)</w:t>
        <w:tab/>
        <w:t>Nothing in this section shall affect the ability of a state commission to design the regulated retail rates, which include transmission costs as a component of the entire bundled retail rate.</w:t>
      </w:r>
    </w:p>
    <w:p>
      <w:pPr>
        <w:pStyle w:val="BodyText"/>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fldChar w:fldCharType="begin"/>
      </w:r>
      <w:r>
        <w:rPr/>
        <w:instrText xml:space="preserve"> SEQ 1_0 \* alphabetic </w:instrText>
      </w:r>
      <w:r>
        <w:rPr/>
        <w:fldChar w:fldCharType="separate"/>
      </w:r>
      <w:r>
        <w:rPr/>
        <w:t>j</w:t>
      </w:r>
      <w:r>
        <w:rPr/>
        <w:fldChar w:fldCharType="end"/>
      </w:r>
      <w:r>
        <w:rPr/>
        <w:t>)</w:t>
        <w:tab/>
        <w:t>The FERC shall accept or reject the filing made under subsection (c) within 90 days, stating its reasons for rejection if applicable.</w:t>
      </w:r>
    </w:p>
    <w:p>
      <w:pPr>
        <w:pStyle w:val="BodyText"/>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b/>
          <w:bCs/>
        </w:rPr>
        <w:fldChar w:fldCharType="begin"/>
      </w:r>
      <w:r>
        <w:rPr>
          <w:b/>
          <w:bCs/>
        </w:rPr>
        <w:instrText xml:space="preserve"> SEQ 1_0 \* alphabetic </w:instrText>
      </w:r>
      <w:r>
        <w:rPr>
          <w:b/>
          <w:bCs/>
        </w:rPr>
        <w:fldChar w:fldCharType="separate"/>
      </w:r>
      <w:r>
        <w:rPr>
          <w:b/>
          <w:bCs/>
        </w:rPr>
        <w:t>k</w:t>
      </w:r>
      <w:r>
        <w:rPr>
          <w:b/>
          <w:bCs/>
        </w:rPr>
        <w:fldChar w:fldCharType="end"/>
      </w:r>
      <w:r>
        <w:rPr>
          <w:b/>
          <w:bCs/>
        </w:rPr>
        <w:t>)</w:t>
        <w:tab/>
        <w:t xml:space="preserve">The FERC organizes and approves the establishment of RTOs with the advice of the affected states.  The states included in the RTO review ongoing operations of RTOs through a regional regulatory board.  Such board will establish voting requirements including requiring a simple majority vote regarding supervision of the RTO.  Decisions of the regional regulatory board regarding the RTO may be appealed to FERC. </w:t>
      </w:r>
    </w:p>
    <w:sectPr>
      <w:type w:val="nextPage"/>
      <w:pgSz w:w="12240" w:h="15840"/>
      <w:pgMar w:left="1512" w:right="1512"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23"/>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2000-06-29T10:32:00Z</dcterms:created>
  <dc:creator>T33770</dc:creator>
  <dc:description/>
  <dc:language>en-CA</dc:language>
  <cp:lastModifiedBy>T33770</cp:lastModifiedBy>
  <dcterms:modified xsi:type="dcterms:W3CDTF">2000-06-29T10:32:00Z</dcterms:modified>
  <cp:revision>3</cp:revision>
  <dc:subject/>
  <dc:title>New §824m (Section 213 of the Federal Power Act) added to 16 USC:</dc:title>
</cp:coreProperties>
</file>