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[date]</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[Duluth Address]</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Re:  TF12 Base/Variable Determination, TF Agreement No. _____</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Dear ____________,</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This letter will provide you with formal notice of a problem that has arisen regarding calculation of the TF12 Base entitlement associated with the referenced TF contract.  As we understand the situation, your agent for purposes of administration of that contract during the relevent period was Transcanada Energy Marketing (TCEM).  TCEM was also Duluth’s agent for administration of certain of Duluth's FDD and/or IDD contracts.  As we understand your relationship with TCEM, TCEM was responsible for nominations to Northern of gas to be delivered under those FDD, IDD, and TF agreements on Duluth’s behalf.</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 xml:space="preserve">As required by section 8 of Rate Schedule TF, Northern initiated a redetermination of Duluth’s TF Base entitlement after the summer period of 1999.  Northern initially assumed for purposes of that redetermination that all deliveries of gas nominated by TCEM to Duluth’s storage contracts were ultimately redelivered to Duluth’s TBS(s) or delivery points.  Upon subsequent audit, Northern learned that a significant quantity of gas that TCEM had delivered to Duluth’s storage contracts was ultimately delivered to points other than Duluth’s TBS(s) or delivery points.  Accordingly, Northern’s initial recognition of those deliveries as increasing Duluth’s TF12 Base entitlement was in error.  Northern issued a prior period adjustment to correct this error on _______, 1999.  To date, neither TCEM nor Duluth has paid the related invoices.      </w:t>
      </w:r>
    </w:p>
    <w:p>
      <w:pPr>
        <w:pStyle w:val="Normal"/>
        <w:spacing w:lineRule="atLeast" w:line="240"/>
        <w:ind w:firstLine="720" w:end="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ind w:firstLine="720" w:end="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 xml:space="preserve">Section 8 of Rate Schedule TF governs the TF12 Base redetermination process.  That section specifically states that "the maximum TF12 Base entitlement shall be the Shipper's actual average daily deliveries,…to the Town Border Stations (TBS) or delivery points listed in the Shipper's TF and TI Service Agreement(s)…"  The tariff provides that this includes volumes that were initially delivered to storage, as long as those volumes were ultimately delivered “to the Town Border Stations (TBS) or delivery points listed in the Shipper’s TF and TI Service Agreement(s).”   Northern is thus not permitted to reflect in Duluth’s TF12 Base entitlement any volumes that TCEM has delivered to Duluth’s storage contracts for subsequent redelivery to markets other than Duluth’s TBS(s) or delivery points.  The quoted language, as you probably recall, originated in Northern’s “New Services Settlement.”  That settlement provided very clearly that each customer’s TF Base entitlement would be annually redetermined “based on that customer’s actual average daily deliveries (TF and TI) at the TBS, or delivery point(s) listed in the customer’s service agreements….”  New Services Settlement at 14 (attached hereto).  There was no allowance in the Settlement, the tariff sheets, nor in any of the discussions held by the parties for including in a customer’s TF12 Base entitlement deliveries made to other markets.  As Duluth participated in that proceeding you should recall that the intent of the parties in drafting the TF12 Base redetermination mechanism is in complete accord with the above language.  The parties to that proceeding wanted to assure that all summer deliveries destined for a TF customer’s city gate, including deliveries of gas that went to storage in the summer and then to the city gate in the subsequent winter, were counted toward that customer’s TF12 Base entitlement.  There was no intent to allow a customer to take storage volumes to other markets and still get TF12 Base credit.  As TCEM was not a party to that proceeding, it may be unaware of this history and the intent of the parties.        </w:t>
      </w:r>
    </w:p>
    <w:p>
      <w:pPr>
        <w:pStyle w:val="Normal"/>
        <w:spacing w:lineRule="atLeast" w:line="240"/>
        <w:ind w:firstLine="720" w:end="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ind w:firstLine="720" w:end="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 xml:space="preserve">Northern is formally notifying Duluth of the above facts as Duluth is ultimately responsible for payment under the TF contract.  Northern will continue to work with TCEM as Duluth's agent but may be required to look to Duluth for payment of the amounts due and owing.  Additionally, Northern is, by copy of this letter, requesting that Duluth provide an affidavit verifying that Duluth has title to all of the gas that TCEM is nominating on Duluth’s behalf.  The pattern of deliveries to and from Duluth’s storage gives Northern reason to be concerned that volumes not owned by Duluth may be included in those nominations.  Northern firmly believes that it is the shipper and not the pipeline that is responsible for compliance with FERC’s  “shipper must have title rule.”   However, in the absence of clear judicial or FERC precedent indicating that Northern has no responsibility for enforcing that rule, Northern feels compelled to request the subject affidavit.  A form of affidavit that would be acceptable to Northern’s counsel is provided for your review.  </w:t>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 xml:space="preserve">Thank you for your attention to this matter. </w:t>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[Dave or Kent]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2000-09-07T16:01:00Z</dcterms:created>
  <dc:creator>Enron</dc:creator>
  <dc:description/>
  <dc:language>en-CA</dc:language>
  <cp:lastModifiedBy>Enron</cp:lastModifiedBy>
  <cp:lastPrinted>2000-09-07T16:19:00Z</cp:lastPrinted>
  <dcterms:modified xsi:type="dcterms:W3CDTF">2000-09-07T19:15:00Z</dcterms:modified>
  <cp:revision>2</cp:revision>
  <dc:subject/>
  <dc:title>[date]</dc:title>
</cp:coreProperties>
</file>