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 DiCarlo, Steve Curlee, Ed McMichael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SEMCO Energy Gas Company Due Diligence Report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CopyList"/>
        <w:ind w:hanging="0" w:start="0" w:end="0"/>
        <w:rPr/>
      </w:pPr>
      <w:bookmarkStart w:id="1" w:name="StartOfMemo"/>
      <w:bookmarkEnd w:id="1"/>
      <w:r>
        <w:rPr/>
        <w:t xml:space="preserve">Legal has reviewed the binder of contracts with respect to SEMCO. The following key points with respect to the SEMCO Due Diligence Report should be noted: </w:t>
      </w:r>
    </w:p>
    <w:p>
      <w:pPr>
        <w:pStyle w:val="CopyList"/>
        <w:numPr>
          <w:ilvl w:val="0"/>
          <w:numId w:val="2"/>
        </w:numPr>
        <w:rPr/>
      </w:pPr>
      <w:r>
        <w:rPr/>
        <w:t>Out of the thirty (30) contracts contained in the SEMCO file, approximately sixteen (16) files contain assignment provisions requiring consent by the counterparty before assigning the contract. The remaining assignment provisions are covered by the terms of their tariff potentially subject to capacity release procedures.</w:t>
      </w:r>
    </w:p>
    <w:p>
      <w:pPr>
        <w:pStyle w:val="CopyList"/>
        <w:numPr>
          <w:ilvl w:val="0"/>
          <w:numId w:val="2"/>
        </w:numPr>
        <w:rPr/>
      </w:pPr>
      <w:r>
        <w:rPr/>
        <w:t>The April 11, 1991 Gas Purchase Contract between Southeastern Michigan Gas Company and Western Gas Marketing Limited has a price reopener which is subject to a negotiation period, then arbitration if the parties cannot agree on a revised price.</w:t>
      </w:r>
    </w:p>
    <w:p>
      <w:pPr>
        <w:pStyle w:val="CopyList"/>
        <w:numPr>
          <w:ilvl w:val="0"/>
          <w:numId w:val="2"/>
        </w:numPr>
        <w:rPr/>
      </w:pPr>
      <w:r>
        <w:rPr>
          <w:rFonts w:eastAsia="Arial"/>
        </w:rPr>
        <w:t xml:space="preserve"> </w:t>
      </w:r>
      <w:r>
        <w:rPr/>
        <w:t>The following three contracts each contain a provision set forth in Article III, Section 5 stipulating that “JPL” (Transporter) is not obligated to transport to the extent that Southeastern Michigan Gas Company, and Battle Creek Gas Company are not required to deliver: contract reference # MI1289-0013A-CG01 – March 29, 1990; MI1289-0012A-CG01 – March 30, 1990; MI1289-0014-CG01 – March 30, 1990.</w:t>
      </w:r>
    </w:p>
    <w:p>
      <w:pPr>
        <w:pStyle w:val="CopyList"/>
        <w:numPr>
          <w:ilvl w:val="0"/>
          <w:numId w:val="2"/>
        </w:numPr>
        <w:rPr/>
      </w:pPr>
      <w:r>
        <w:rPr/>
        <w:t>The February 01, 2000 contract between SEMCO and Consumers Energy Corporation imposes liability on SEMCO for damages for any violation of intrastate use. (i.e. if SEMCO transports or sells any of the gas transported thereunder outside of the state of Michigan).</w:t>
      </w:r>
    </w:p>
    <w:p>
      <w:pPr>
        <w:pStyle w:val="CopyList"/>
        <w:numPr>
          <w:ilvl w:val="0"/>
          <w:numId w:val="2"/>
        </w:numPr>
        <w:rPr/>
      </w:pPr>
      <w:r>
        <w:rPr/>
        <w:t>The October 11, 1996 Letter of Agreement from Southeastern Michigan Gas Enterprises to Eaton Rapids Gas Storage System stipulates that the contracts of Battle Creek Gas Company, Southeastern Michigan Gas Company, Michigan Gas Company, and Southeastern Michigan Gas Enterprises be pooled. However, the contract was not executed by Eaton Rapids Gas Storage System.</w:t>
      </w:r>
    </w:p>
    <w:p>
      <w:pPr>
        <w:pStyle w:val="CopyList"/>
        <w:numPr>
          <w:ilvl w:val="0"/>
          <w:numId w:val="2"/>
        </w:numPr>
        <w:rPr/>
      </w:pPr>
      <w:r>
        <w:rPr/>
        <w:t xml:space="preserve">The interstate contracts are typically not assignable in the normal manner. They would be subject to capacity release procedures of the pipeline and would be subject to bidding. In addition, to the extent that the agreements provide for transportation at rates discounted off of the maximum rate, such rates could be bid up to maximum rates resulting in ENA as releasee losing the benefit of the rate discount. </w:t>
      </w:r>
    </w:p>
    <w:p>
      <w:pPr>
        <w:pStyle w:val="CopyList"/>
        <w:ind w:hanging="0" w:start="507" w:end="0"/>
        <w:rPr/>
      </w:pPr>
      <w:r>
        <w:rPr/>
        <w:t>Please let me know if you have any further concerns with respect to this report.</w:t>
      </w:r>
    </w:p>
    <w:p>
      <w:pPr>
        <w:pStyle w:val="CopyList"/>
        <w:ind w:hanging="0" w:start="507" w:end="0"/>
        <w:rPr/>
      </w:pPr>
      <w:r>
        <w:rPr/>
        <w:t>Thank you,</w:t>
      </w:r>
    </w:p>
    <w:p>
      <w:pPr>
        <w:pStyle w:val="CopyList"/>
        <w:ind w:hanging="0" w:start="507" w:end="0"/>
        <w:rPr/>
      </w:pPr>
      <w:r>
        <w:rPr/>
      </w:r>
    </w:p>
    <w:p>
      <w:pPr>
        <w:pStyle w:val="CopyList"/>
        <w:ind w:hanging="0" w:start="507" w:end="0"/>
        <w:rPr/>
      </w:pPr>
      <w:r>
        <w:rPr/>
      </w:r>
    </w:p>
    <w:p>
      <w:pPr>
        <w:pStyle w:val="CopyList"/>
        <w:ind w:hanging="0" w:start="507" w:end="0"/>
        <w:rPr/>
      </w:pPr>
      <w:r>
        <w:rPr/>
        <w:t>Gerald R. Nemec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67"/>
        </w:tabs>
        <w:ind w:start="867"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2001-05-30T14:21:00Z</dcterms:created>
  <dc:creator>mnachawa</dc:creator>
  <dc:description/>
  <dc:language>en-CA</dc:language>
  <cp:lastModifiedBy>mnachawa</cp:lastModifiedBy>
  <cp:lastPrinted>2001-05-30T11:52:00Z</cp:lastPrinted>
  <dcterms:modified xsi:type="dcterms:W3CDTF">2001-05-30T14:23:00Z</dcterms:modified>
  <cp:revision>3</cp:revision>
  <dc:subject/>
  <dc:title>Better, Faster, Simpler Memo </dc:title>
</cp:coreProperties>
</file>