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Borrador para comentarios</w:t>
      </w:r>
    </w:p>
    <w:p>
      <w:pPr>
        <w:pStyle w:val="Normal"/>
        <w:tabs>
          <w:tab w:val="clear" w:pos="720"/>
          <w:tab w:val="right" w:pos="8411" w:leader="none"/>
        </w:tabs>
        <w:jc w:val="center"/>
        <w:rPr>
          <w:b/>
          <w:sz w:val="24"/>
          <w:u w:val="single"/>
          <w:lang w:val="es-ES_tradnl"/>
        </w:rPr>
      </w:pPr>
      <w:r>
        <w:rPr>
          <w:b/>
          <w:sz w:val="24"/>
          <w:u w:val="single"/>
          <w:lang w:val="es-ES_tradnl"/>
        </w:rPr>
      </w:r>
    </w:p>
    <w:p>
      <w:pPr>
        <w:pStyle w:val="Normal"/>
        <w:pBdr>
          <w:top w:val="single" w:sz="4" w:space="1" w:color="000000" w:shadow="1"/>
          <w:left w:val="single" w:sz="4" w:space="4" w:color="000000" w:shadow="1"/>
          <w:bottom w:val="single" w:sz="4" w:space="1" w:color="000000" w:shadow="1"/>
          <w:right w:val="single" w:sz="4" w:space="4" w:color="000000" w:shadow="1"/>
        </w:pBdr>
        <w:shd w:fill="DFDFDF" w:val="clear"/>
        <w:jc w:val="center"/>
        <w:rPr>
          <w:rFonts w:ascii="Arial" w:hAnsi="Arial" w:cs="Arial"/>
          <w:b/>
          <w:sz w:val="28"/>
          <w:u w:val="single"/>
          <w:lang w:val="es-ES_tradnl"/>
        </w:rPr>
      </w:pPr>
      <w:r>
        <w:rPr>
          <w:rFonts w:cs="Arial" w:ascii="Arial" w:hAnsi="Arial"/>
          <w:b/>
          <w:sz w:val="28"/>
          <w:u w:val="single"/>
          <w:lang w:val="es-ES_tradnl"/>
        </w:rPr>
      </w:r>
    </w:p>
    <w:p>
      <w:pPr>
        <w:pStyle w:val="Normal"/>
        <w:pBdr>
          <w:top w:val="single" w:sz="4" w:space="1" w:color="000000" w:shadow="1"/>
          <w:left w:val="single" w:sz="4" w:space="4" w:color="000000" w:shadow="1"/>
          <w:bottom w:val="single" w:sz="4" w:space="1" w:color="000000" w:shadow="1"/>
          <w:right w:val="single" w:sz="4" w:space="4" w:color="000000" w:shadow="1"/>
        </w:pBdr>
        <w:shd w:fill="DFDFDF" w:val="clear"/>
        <w:jc w:val="center"/>
        <w:rPr>
          <w:rFonts w:ascii="Arial" w:hAnsi="Arial" w:cs="Arial"/>
          <w:b/>
          <w:sz w:val="28"/>
          <w:lang w:val="es-ES_tradnl"/>
        </w:rPr>
      </w:pPr>
      <w:r>
        <w:rPr>
          <w:rFonts w:cs="Arial" w:ascii="Arial" w:hAnsi="Arial"/>
          <w:b/>
          <w:sz w:val="28"/>
          <w:lang w:val="es-ES_tradnl"/>
        </w:rPr>
        <w:t>DECLARACIÓN DE PRINCIPIOS Y RECOMENDACIONES DEL CONSEJO CONSULTIVO SOBRE ELECTRICIDAD Y MEDIO AMBIENTE DE LA CCA</w:t>
      </w:r>
    </w:p>
    <w:p>
      <w:pPr>
        <w:pStyle w:val="Normal"/>
        <w:pBdr>
          <w:top w:val="single" w:sz="4" w:space="1" w:color="000000" w:shadow="1"/>
          <w:left w:val="single" w:sz="4" w:space="4" w:color="000000" w:shadow="1"/>
          <w:bottom w:val="single" w:sz="4" w:space="1" w:color="000000" w:shadow="1"/>
          <w:right w:val="single" w:sz="4" w:space="4" w:color="000000" w:shadow="1"/>
        </w:pBdr>
        <w:shd w:fill="DFDFDF" w:val="clear"/>
        <w:jc w:val="center"/>
        <w:rPr>
          <w:rFonts w:ascii="Arial" w:hAnsi="Arial" w:cs="Arial"/>
          <w:b/>
          <w:sz w:val="28"/>
          <w:lang w:val="es-ES_tradnl"/>
        </w:rPr>
      </w:pPr>
      <w:r>
        <w:rPr>
          <w:rFonts w:cs="Arial" w:ascii="Arial" w:hAnsi="Arial"/>
          <w:b/>
          <w:sz w:val="28"/>
          <w:lang w:val="es-ES_tradnl"/>
        </w:rPr>
        <w:t>LA JOLLA, CALIFORNIA</w:t>
      </w:r>
    </w:p>
    <w:p>
      <w:pPr>
        <w:pStyle w:val="Normal"/>
        <w:pBdr>
          <w:top w:val="single" w:sz="4" w:space="1" w:color="000000" w:shadow="1"/>
          <w:left w:val="single" w:sz="4" w:space="4" w:color="000000" w:shadow="1"/>
          <w:bottom w:val="single" w:sz="4" w:space="1" w:color="000000" w:shadow="1"/>
          <w:right w:val="single" w:sz="4" w:space="4" w:color="000000" w:shadow="1"/>
        </w:pBdr>
        <w:shd w:fill="DFDFDF" w:val="clear"/>
        <w:jc w:val="center"/>
        <w:rPr>
          <w:rFonts w:ascii="Arial" w:hAnsi="Arial" w:cs="Arial"/>
          <w:b/>
          <w:sz w:val="28"/>
          <w:lang w:val="es-ES_tradnl"/>
        </w:rPr>
      </w:pPr>
      <w:r>
        <w:rPr>
          <w:rFonts w:cs="Arial" w:ascii="Arial" w:hAnsi="Arial"/>
          <w:b/>
          <w:sz w:val="28"/>
          <w:lang w:val="es-ES_tradnl"/>
        </w:rPr>
        <w:t>29 DE NOVIEMBRE DE 2001</w:t>
      </w:r>
    </w:p>
    <w:p>
      <w:pPr>
        <w:pStyle w:val="Normal"/>
        <w:pBdr>
          <w:top w:val="single" w:sz="4" w:space="1" w:color="000000" w:shadow="1"/>
          <w:left w:val="single" w:sz="4" w:space="4" w:color="000000" w:shadow="1"/>
          <w:bottom w:val="single" w:sz="4" w:space="1" w:color="000000" w:shadow="1"/>
          <w:right w:val="single" w:sz="4" w:space="4" w:color="000000" w:shadow="1"/>
        </w:pBdr>
        <w:shd w:fill="DFDFDF" w:val="clear"/>
        <w:rPr>
          <w:rFonts w:ascii="Arial" w:hAnsi="Arial" w:cs="Arial"/>
          <w:b/>
          <w:sz w:val="28"/>
          <w:lang w:val="es-ES_tradnl"/>
        </w:rPr>
      </w:pPr>
      <w:r>
        <w:rPr>
          <w:rFonts w:cs="Arial" w:ascii="Arial" w:hAnsi="Arial"/>
          <w:b/>
          <w:sz w:val="28"/>
          <w:lang w:val="es-ES_tradnl"/>
        </w:rPr>
      </w:r>
    </w:p>
    <w:p>
      <w:pPr>
        <w:pStyle w:val="Normal"/>
        <w:jc w:val="both"/>
        <w:rPr>
          <w:rFonts w:ascii="Arial" w:hAnsi="Arial" w:cs="Arial"/>
          <w:b/>
          <w:sz w:val="24"/>
          <w:lang w:val="es-ES_tradnl"/>
        </w:rPr>
      </w:pPr>
      <w:r>
        <w:rPr>
          <w:rFonts w:cs="Arial" w:ascii="Arial" w:hAnsi="Arial"/>
          <w:b/>
          <w:sz w:val="24"/>
          <w:lang w:val="es-ES_tradnl"/>
        </w:rPr>
      </w:r>
    </w:p>
    <w:p>
      <w:pPr>
        <w:pStyle w:val="Normal"/>
        <w:jc w:val="both"/>
        <w:rPr>
          <w:sz w:val="24"/>
          <w:lang w:val="es-ES_tradnl"/>
        </w:rPr>
      </w:pPr>
      <w:r>
        <w:rPr>
          <w:sz w:val="24"/>
          <w:lang w:val="es-ES_tradnl"/>
        </w:rPr>
        <w:t>Alguna vez utópicas, las posibilidades de desarrollar un mercado de electricidad integrado en América del Norte nunca habían sido tan prometedoras. Aunque no son ampliamente visibles, los vínculos energéticos subcontinentales han proliferado durante los dos decenios pasados, con lo que se ha generado un complejo conjunto de transacciones y relaciones transfronterizas. De hecho, la venta de energía hidroeléctrica desde Columbia Británica hasta Baja California, la construcción del gasoducto Alianza: 3,680 kilómetros de transporte de gas natural desde el occidente de Canadá hasta Chicago, y el hecho de que la magnitud de la acumulación de nieve en el este de Canadá influya en los precios al por mayor de la electricidad en los estados del centro norte de Estados Unidos y Nueva Inglaterra son testimonio elocuente de nuestras crecientes conexiones regionales.</w:t>
      </w:r>
    </w:p>
    <w:p>
      <w:pPr>
        <w:pStyle w:val="Normal"/>
        <w:jc w:val="both"/>
        <w:rPr>
          <w:sz w:val="24"/>
          <w:lang w:val="es-ES_tradnl"/>
        </w:rPr>
      </w:pPr>
      <w:r>
        <w:rPr>
          <w:sz w:val="24"/>
          <w:lang w:val="es-ES_tradnl"/>
        </w:rPr>
      </w:r>
    </w:p>
    <w:p>
      <w:pPr>
        <w:pStyle w:val="Normal"/>
        <w:jc w:val="both"/>
        <w:rPr>
          <w:sz w:val="24"/>
          <w:lang w:val="es-ES_tradnl"/>
        </w:rPr>
      </w:pPr>
      <w:r>
        <w:rPr>
          <w:sz w:val="24"/>
          <w:lang w:val="es-ES_tradnl"/>
        </w:rPr>
        <w:t xml:space="preserve">Al tiempo que se profundiza la integración económica, es preciso realizar un esfuerzo paralelo que se ocupe de los retos ambientales que encaramos. Para hacer frente a estos desafíos debemos reconocer nuestras diferencias —tanto nacionales cuanto regionales— para garantizar que el sendero que sigamos esté formulado de tal forma que satisfaga las preocupaciones prácticas de nuestros ciudadanos, al margen de dónde éstos residan. </w:t>
      </w:r>
    </w:p>
    <w:p>
      <w:pPr>
        <w:pStyle w:val="Normal"/>
        <w:jc w:val="both"/>
        <w:rPr>
          <w:sz w:val="24"/>
          <w:lang w:val="es-ES_tradnl"/>
        </w:rPr>
      </w:pPr>
      <w:r>
        <w:rPr>
          <w:sz w:val="24"/>
          <w:lang w:val="es-ES_tradnl"/>
        </w:rPr>
      </w:r>
    </w:p>
    <w:p>
      <w:pPr>
        <w:pStyle w:val="Normal"/>
        <w:jc w:val="both"/>
        <w:rPr>
          <w:sz w:val="24"/>
          <w:lang w:val="es-ES_tradnl"/>
        </w:rPr>
      </w:pPr>
      <w:r>
        <w:rPr>
          <w:sz w:val="24"/>
          <w:lang w:val="es-ES_tradnl"/>
        </w:rPr>
        <w:t>La electricidad accesible y confiable constituye la base de la estabilidad económica de la que depende la prosperidad; una política energética sustentable de largo plazo sigue siendo central para nuestro bienestar económico. Asimismo, la electricidad –su clase, producción, distribución y uso— tiene efectos significativos en la salud humana y los sistemas ecológicos que sustentan la vida.</w:t>
      </w:r>
    </w:p>
    <w:p>
      <w:pPr>
        <w:pStyle w:val="Normal"/>
        <w:jc w:val="both"/>
        <w:rPr>
          <w:sz w:val="24"/>
          <w:lang w:val="es-ES_tradnl"/>
        </w:rPr>
      </w:pPr>
      <w:r>
        <w:rPr>
          <w:sz w:val="24"/>
          <w:lang w:val="es-ES_tradnl"/>
        </w:rPr>
      </w:r>
    </w:p>
    <w:p>
      <w:pPr>
        <w:pStyle w:val="Normal"/>
        <w:jc w:val="both"/>
        <w:rPr>
          <w:sz w:val="24"/>
          <w:lang w:val="es-ES_tradnl"/>
        </w:rPr>
      </w:pPr>
      <w:r>
        <w:rPr>
          <w:sz w:val="24"/>
          <w:lang w:val="es-ES_tradnl"/>
        </w:rPr>
        <w:t xml:space="preserve">Como lo han hecho evidente los sucesos recientes en el oeste de Estados Unidos, es muy difícil predecir el futuro de la energía y la electricidad. Mientras podemos acotar de manera un tanto rudimentaria la oferta y la demanda generales de electricidad, nuestra capacidad para prever el crecimiento o las restricciones regionales o locales es, si acaso, limitada. De igual modo, es esquiva nuestra habilidad para anticipar las innovaciones y la difusión tecnológicas. </w:t>
      </w:r>
    </w:p>
    <w:p>
      <w:pPr>
        <w:pStyle w:val="Normal"/>
        <w:jc w:val="both"/>
        <w:rPr>
          <w:sz w:val="24"/>
          <w:lang w:val="es-ES_tradnl"/>
        </w:rPr>
      </w:pPr>
      <w:r>
        <w:rPr>
          <w:sz w:val="24"/>
          <w:lang w:val="es-ES_tradnl"/>
        </w:rPr>
      </w:r>
    </w:p>
    <w:p>
      <w:pPr>
        <w:pStyle w:val="Normal"/>
        <w:jc w:val="both"/>
        <w:rPr>
          <w:sz w:val="24"/>
          <w:lang w:val="es-ES_tradnl"/>
        </w:rPr>
      </w:pPr>
      <w:r>
        <w:rPr>
          <w:sz w:val="24"/>
          <w:lang w:val="es-ES_tradnl"/>
        </w:rPr>
        <w:t>Al mismo tiempo que reconocemos las incertidumbres inherentes a nuestras herramientas de predicción, se torna imperativa la planeación de largo alcance, lo que nos exige hacer juicios y basar decisiones en nuestra mejor evidencia disponible. En consecuencia, las salvaguardias y medidas de política ambiental instauradas deben, en gran medida, ser capaces de funcionar adecuadamente en un clima de incertidumbre. Más aún, estas medidas se deben formular también de manera que funcionen bien en una región regida, en buen grado, por las fuerzas del mercado, como con seguridad será el caso del incipiente mercado de América del Norte.</w:t>
      </w:r>
    </w:p>
    <w:p>
      <w:pPr>
        <w:pStyle w:val="Normal"/>
        <w:jc w:val="both"/>
        <w:rPr>
          <w:sz w:val="24"/>
          <w:lang w:val="es-ES_tradnl"/>
        </w:rPr>
      </w:pPr>
      <w:r>
        <w:rPr>
          <w:sz w:val="24"/>
          <w:lang w:val="es-ES_tradnl"/>
        </w:rPr>
      </w:r>
    </w:p>
    <w:p>
      <w:pPr>
        <w:pStyle w:val="Normal"/>
        <w:jc w:val="both"/>
        <w:rPr>
          <w:sz w:val="24"/>
          <w:lang w:val="es-ES_tradnl"/>
        </w:rPr>
      </w:pPr>
      <w:r>
        <w:rPr>
          <w:sz w:val="24"/>
          <w:lang w:val="es-ES_tradnl"/>
        </w:rPr>
        <w:t>A medida que el mercado de electricidad adquiere forma en el marco de un comercio más libre y una asociación regional más estrecha en materia de energía, nos enfrentamos a aspectos vitales de política pública que garanticen que la transformación del mercado de electricidad fomente el desarrollo sustentable, es decir, que genere beneficios tanto económicos cuanto medioambientales.</w:t>
      </w:r>
    </w:p>
    <w:p>
      <w:pPr>
        <w:pStyle w:val="Normal"/>
        <w:jc w:val="both"/>
        <w:rPr>
          <w:sz w:val="24"/>
          <w:lang w:val="es-ES_tradnl"/>
        </w:rPr>
      </w:pPr>
      <w:r>
        <w:rPr>
          <w:sz w:val="24"/>
          <w:lang w:val="es-ES_tradnl"/>
        </w:rPr>
      </w:r>
    </w:p>
    <w:p>
      <w:pPr>
        <w:pStyle w:val="Normal"/>
        <w:jc w:val="both"/>
        <w:rPr>
          <w:sz w:val="24"/>
          <w:lang w:val="es-ES_tradnl"/>
        </w:rPr>
      </w:pPr>
      <w:r>
        <w:rPr>
          <w:sz w:val="24"/>
          <w:lang w:val="es-ES_tradnl"/>
        </w:rPr>
        <w:t>Para lograr los beneficios ambientales que se desprenden de mayores eficiencias, la difusión tecnológica y un mejor desempeño ambiental regional, las consideraciones de política ambiental se deben adoptar en las primeras fases de planeación. Ello requerirá un grado sin precedente de cooperación en América del Norte, pero es mucho lo que está en juego y debemos ser optimistas de que nuestras tres sociedades pueden hacer frente a este desafío. Es con ese ánimo de optimismo que los miembros firmantes del Consejo Consultivo sometemos con todo respeto las siguientes recomendaciones a los gobiernos de Canadá, Estados Unidos y México.</w:t>
      </w:r>
    </w:p>
    <w:p>
      <w:pPr>
        <w:pStyle w:val="Normal"/>
        <w:jc w:val="both"/>
        <w:rPr>
          <w:sz w:val="24"/>
          <w:lang w:val="es-ES_tradnl"/>
        </w:rPr>
      </w:pPr>
      <w:r>
        <w:rPr>
          <w:sz w:val="24"/>
          <w:lang w:val="es-ES_tradnl"/>
        </w:rPr>
      </w:r>
    </w:p>
    <w:p>
      <w:pPr>
        <w:pStyle w:val="Normal"/>
        <w:jc w:val="both"/>
        <w:rPr>
          <w:b/>
          <w:sz w:val="24"/>
          <w:lang w:val="es-ES_tradnl"/>
        </w:rPr>
      </w:pPr>
      <w:r>
        <w:rPr>
          <w:b/>
          <w:sz w:val="24"/>
          <w:lang w:val="es-ES_tradnl"/>
        </w:rPr>
        <w:t>1.0 Sobre el mantenimiento de altos niveles de protección de la salud humana y el medio ambiente</w:t>
      </w:r>
    </w:p>
    <w:p>
      <w:pPr>
        <w:pStyle w:val="Normal"/>
        <w:jc w:val="both"/>
        <w:rPr>
          <w:b/>
          <w:sz w:val="24"/>
          <w:u w:val="single"/>
          <w:lang w:val="es-ES_tradnl"/>
        </w:rPr>
      </w:pPr>
      <w:r>
        <w:rPr>
          <w:b/>
          <w:sz w:val="24"/>
          <w:u w:val="single"/>
          <w:lang w:val="es-ES_tradnl"/>
        </w:rPr>
      </w:r>
    </w:p>
    <w:p>
      <w:pPr>
        <w:pStyle w:val="Normal"/>
        <w:jc w:val="both"/>
        <w:rPr/>
      </w:pPr>
      <w:r>
        <w:rPr>
          <w:sz w:val="24"/>
          <w:lang w:val="es-ES_tradnl"/>
        </w:rPr>
        <w:t xml:space="preserve">Debido a las incertidumbres en los futuros patrones de generación, transmisión y uso de electricidad, y con objeto de asegurar que se mantengan normas elevadas de protección del medio ambiente y la salud en toda América del Note, los gobiernos deben mantener normas ambientales nacionales y otras medidas basadas en la salud humana y de los ecosistemas. Las normas mínimas y la cooperación regional nos protegerán contra las preocupaciones del surgimiento de “refugios de la contaminación”, minimizarán las aseveraciones de </w:t>
      </w:r>
      <w:r>
        <w:rPr>
          <w:i/>
          <w:sz w:val="24"/>
          <w:lang w:val="es-ES_tradnl"/>
        </w:rPr>
        <w:t xml:space="preserve">dumping </w:t>
      </w:r>
      <w:r>
        <w:rPr>
          <w:sz w:val="24"/>
          <w:lang w:val="es-ES_tradnl"/>
        </w:rPr>
        <w:t>ambiental y disminuirán las probabilidades de que los conglomerados de plantas generadoras perjudiquen la salud y el medio ambiente de las localidades.</w:t>
      </w:r>
    </w:p>
    <w:p>
      <w:pPr>
        <w:pStyle w:val="Normal"/>
        <w:jc w:val="both"/>
        <w:rPr>
          <w:sz w:val="24"/>
          <w:lang w:val="es-ES_tradnl"/>
        </w:rPr>
      </w:pPr>
      <w:r>
        <w:rPr>
          <w:sz w:val="24"/>
          <w:lang w:val="es-ES_tradnl"/>
        </w:rPr>
      </w:r>
    </w:p>
    <w:p>
      <w:pPr>
        <w:pStyle w:val="Normal"/>
        <w:numPr>
          <w:ilvl w:val="0"/>
          <w:numId w:val="6"/>
        </w:numPr>
        <w:tabs>
          <w:tab w:val="clear" w:pos="720"/>
          <w:tab w:val="left" w:pos="360" w:leader="none"/>
        </w:tabs>
        <w:jc w:val="both"/>
        <w:rPr>
          <w:b/>
          <w:sz w:val="24"/>
          <w:u w:val="single"/>
          <w:lang w:val="es-ES_tradnl"/>
        </w:rPr>
      </w:pPr>
      <w:r>
        <w:rPr>
          <w:sz w:val="24"/>
          <w:lang w:val="es-ES_tradnl"/>
        </w:rPr>
        <w:t xml:space="preserve">Dadas las incertidumbres esperadas en el mercado de electricidad, las medidas de política ambiental deben ser flexibles, reconocer las diferencias entre nuestros países y entre regiones e incluir un mecanismo de seguridad que les permita conservar su eficacia y eficiencia. </w:t>
      </w:r>
    </w:p>
    <w:p>
      <w:pPr>
        <w:pStyle w:val="Normal"/>
        <w:tabs>
          <w:tab w:val="clear" w:pos="720"/>
          <w:tab w:val="left" w:pos="360" w:leader="none"/>
        </w:tabs>
        <w:jc w:val="both"/>
        <w:rPr>
          <w:b/>
          <w:sz w:val="24"/>
          <w:u w:val="single"/>
          <w:lang w:val="es-ES_tradnl"/>
        </w:rPr>
      </w:pPr>
      <w:r>
        <w:rPr>
          <w:b/>
          <w:sz w:val="24"/>
          <w:u w:val="single"/>
          <w:lang w:val="es-ES_tradnl"/>
        </w:rPr>
      </w:r>
    </w:p>
    <w:p>
      <w:pPr>
        <w:pStyle w:val="Normal"/>
        <w:numPr>
          <w:ilvl w:val="0"/>
          <w:numId w:val="5"/>
        </w:numPr>
        <w:tabs>
          <w:tab w:val="clear" w:pos="720"/>
          <w:tab w:val="right" w:pos="8411" w:leader="none"/>
        </w:tabs>
        <w:jc w:val="both"/>
        <w:rPr>
          <w:b/>
          <w:sz w:val="24"/>
          <w:lang w:val="es-ES_tradnl"/>
        </w:rPr>
      </w:pPr>
      <w:r>
        <w:rPr>
          <w:b/>
          <w:sz w:val="24"/>
          <w:lang w:val="es-ES_tradnl"/>
        </w:rPr>
        <w:t xml:space="preserve"> </w:t>
      </w:r>
      <w:r>
        <w:rPr>
          <w:b/>
          <w:sz w:val="24"/>
          <w:lang w:val="es-ES_tradnl"/>
        </w:rPr>
        <w:t xml:space="preserve">Sobre el desarrollo de mejor información sobre las emisiones, la ubicación y la evaluación de la contaminación </w:t>
      </w:r>
    </w:p>
    <w:p>
      <w:pPr>
        <w:pStyle w:val="Normal"/>
        <w:tabs>
          <w:tab w:val="clear" w:pos="720"/>
          <w:tab w:val="right" w:pos="8411" w:leader="none"/>
        </w:tabs>
        <w:jc w:val="both"/>
        <w:rPr>
          <w:b/>
          <w:sz w:val="24"/>
          <w:lang w:val="es-ES_tradnl"/>
        </w:rPr>
      </w:pPr>
      <w:r>
        <w:rPr>
          <w:b/>
          <w:sz w:val="24"/>
          <w:lang w:val="es-ES_tradnl"/>
        </w:rPr>
      </w:r>
    </w:p>
    <w:p>
      <w:pPr>
        <w:pStyle w:val="Normal"/>
        <w:tabs>
          <w:tab w:val="clear" w:pos="720"/>
          <w:tab w:val="right" w:pos="8411" w:leader="none"/>
        </w:tabs>
        <w:jc w:val="both"/>
        <w:rPr>
          <w:sz w:val="24"/>
          <w:lang w:val="es-ES_tradnl"/>
        </w:rPr>
      </w:pPr>
      <w:r>
        <w:rPr>
          <w:sz w:val="24"/>
          <w:lang w:val="es-ES_tradnl"/>
        </w:rPr>
        <w:t>El Consejo Consultivo coincide en que los gobiernos y la ciudadanía se beneficiarían de manera considerable del mejoramiento de los actuales esfuerzos para recopilar, hacer comparables y registrar en escala regional las emisiones del sector eléctrico, además de enriquecer el acceso a la información de la localización y evaluación de los proyectos relativos a la electricidad.</w:t>
      </w:r>
    </w:p>
    <w:p>
      <w:pPr>
        <w:pStyle w:val="Normal"/>
        <w:jc w:val="both"/>
        <w:rPr>
          <w:sz w:val="24"/>
          <w:lang w:val="es-ES_tradnl"/>
        </w:rPr>
      </w:pPr>
      <w:r>
        <w:rPr>
          <w:sz w:val="24"/>
          <w:lang w:val="es-ES_tradnl"/>
        </w:rPr>
      </w:r>
    </w:p>
    <w:p>
      <w:pPr>
        <w:pStyle w:val="Normal"/>
        <w:numPr>
          <w:ilvl w:val="0"/>
          <w:numId w:val="3"/>
        </w:numPr>
        <w:jc w:val="both"/>
        <w:rPr>
          <w:sz w:val="24"/>
          <w:lang w:val="es-ES_tradnl"/>
        </w:rPr>
      </w:pPr>
      <w:r>
        <w:rPr>
          <w:sz w:val="24"/>
          <w:lang w:val="es-ES_tradnl"/>
        </w:rPr>
        <w:t>Desarrollar datos de emisión de contaminación transparentes y comparables del sector de generación de electricidad de América del Norte con un nivel de detalle suficiente que permita elaborar análisis de tendencias, políticas de canje de emisiones y derecho de la ciudadanía a la información.</w:t>
      </w:r>
    </w:p>
    <w:p>
      <w:pPr>
        <w:pStyle w:val="Normal"/>
        <w:numPr>
          <w:ilvl w:val="0"/>
          <w:numId w:val="2"/>
        </w:numPr>
        <w:jc w:val="both"/>
        <w:rPr>
          <w:sz w:val="24"/>
          <w:lang w:val="es-ES_tradnl"/>
        </w:rPr>
      </w:pPr>
      <w:r>
        <w:rPr>
          <w:sz w:val="24"/>
          <w:lang w:val="es-ES_tradnl"/>
        </w:rPr>
        <w:t>Desarrollar un marco de trabajo modelo de los elementos necesarios para un régimen de canje de emisiones de América del Norte (bi o trilateral) que pueda incluir emisiones de dióxido de azufre y óxidos de nitrógeno.</w:t>
      </w:r>
    </w:p>
    <w:p>
      <w:pPr>
        <w:pStyle w:val="Normal"/>
        <w:numPr>
          <w:ilvl w:val="0"/>
          <w:numId w:val="2"/>
        </w:numPr>
        <w:jc w:val="both"/>
        <w:rPr>
          <w:b/>
          <w:sz w:val="24"/>
          <w:u w:val="single"/>
          <w:lang w:val="es-ES_tradnl"/>
        </w:rPr>
      </w:pPr>
      <w:r>
        <w:rPr>
          <w:sz w:val="24"/>
          <w:lang w:val="es-ES_tradnl"/>
        </w:rPr>
        <w:t>Encomendar una revisión de la congruencia de las normas ambientales de América del Norte que rigen la construcción y la operación de las centrales eléctricas, incluidas pero no limitadas a las ubicadas en las zonas fronterizas.</w:t>
      </w:r>
    </w:p>
    <w:p>
      <w:pPr>
        <w:pStyle w:val="Normal"/>
        <w:jc w:val="both"/>
        <w:rPr>
          <w:b/>
          <w:sz w:val="24"/>
          <w:u w:val="single"/>
          <w:lang w:val="es-ES_tradnl"/>
        </w:rPr>
      </w:pPr>
      <w:r>
        <w:rPr>
          <w:b/>
          <w:sz w:val="24"/>
          <w:u w:val="single"/>
          <w:lang w:val="es-ES_tradnl"/>
        </w:rPr>
      </w:r>
    </w:p>
    <w:p>
      <w:pPr>
        <w:pStyle w:val="Normal"/>
        <w:jc w:val="both"/>
        <w:rPr>
          <w:b/>
          <w:sz w:val="24"/>
          <w:lang w:val="es-ES_tradnl"/>
        </w:rPr>
      </w:pPr>
      <w:r>
        <w:rPr>
          <w:b/>
          <w:sz w:val="24"/>
          <w:lang w:val="es-ES_tradnl"/>
        </w:rPr>
        <w:t>3.0 Sobre la evaluación regional y el efecto ambiental transfronterizo</w:t>
      </w:r>
    </w:p>
    <w:p>
      <w:pPr>
        <w:pStyle w:val="Normal"/>
        <w:jc w:val="both"/>
        <w:rPr>
          <w:b/>
          <w:sz w:val="24"/>
          <w:lang w:val="es-ES_tradnl"/>
        </w:rPr>
      </w:pPr>
      <w:r>
        <w:rPr>
          <w:b/>
          <w:sz w:val="24"/>
          <w:lang w:val="es-ES_tradnl"/>
        </w:rPr>
      </w:r>
    </w:p>
    <w:p>
      <w:pPr>
        <w:pStyle w:val="Normal"/>
        <w:jc w:val="both"/>
        <w:rPr>
          <w:sz w:val="24"/>
          <w:lang w:val="es-ES_tradnl"/>
        </w:rPr>
      </w:pPr>
      <w:r>
        <w:rPr>
          <w:sz w:val="24"/>
          <w:lang w:val="es-ES_tradnl"/>
        </w:rPr>
        <w:t>Conforme a la mayoría de las predicciones, la satisfacción de la demanda de electricidad en los próximos 20 años requiere un aumento significativo de la capacidad de generación. Evitar efectos perjudiciales regionales en el medio ambiente y la salud exigirá esfuerzos más decididos de coordinación regional y evaluación transfronteriza, así como considerar los efectos acumulativos de los proyectos.</w:t>
      </w:r>
    </w:p>
    <w:p>
      <w:pPr>
        <w:pStyle w:val="Normal"/>
        <w:jc w:val="both"/>
        <w:rPr>
          <w:sz w:val="24"/>
          <w:lang w:val="es-ES_tradnl"/>
        </w:rPr>
      </w:pPr>
      <w:r>
        <w:rPr>
          <w:sz w:val="24"/>
          <w:lang w:val="es-ES_tradnl"/>
        </w:rPr>
      </w:r>
    </w:p>
    <w:p>
      <w:pPr>
        <w:pStyle w:val="Normal"/>
        <w:jc w:val="both"/>
        <w:rPr>
          <w:sz w:val="24"/>
          <w:lang w:val="es-ES_tradnl"/>
        </w:rPr>
      </w:pPr>
      <w:r>
        <w:rPr>
          <w:sz w:val="24"/>
          <w:lang w:val="es-ES_tradnl"/>
        </w:rPr>
        <w:t>Como se señala en el informe de expertos “Oportunidades y Retos del Dinámico Mercado de Electricidad de América del Norte”, tomado en conjunto el sector eléctrico afecta de modo considerable los diversos medios ambientales: el aire, el agua y el suelo. Estos efectos se suelen evaluar sólo en la respectiva jurisdicción en que tiene lugar la actividad, aunque las repercusiones se pueden presentar del todo fuera del área de evaluación. De manera similar, el efecto colectivo de varias actividades pueden tener significativas dimensiones regionales, incluido el transporte atmosférico de contaminantes a grandes distancias (como el mercurio y las emisiones que contribuyen a la lluvia ácida) y la destrucción o fragmentación de hábitats que afecta a las especies migratorias.</w:t>
      </w:r>
    </w:p>
    <w:p>
      <w:pPr>
        <w:pStyle w:val="Normal"/>
        <w:jc w:val="both"/>
        <w:rPr>
          <w:sz w:val="24"/>
          <w:lang w:val="es-ES_tradnl"/>
        </w:rPr>
      </w:pPr>
      <w:r>
        <w:rPr>
          <w:sz w:val="24"/>
          <w:lang w:val="es-ES_tradnl"/>
        </w:rPr>
      </w:r>
    </w:p>
    <w:p>
      <w:pPr>
        <w:pStyle w:val="Normal"/>
        <w:jc w:val="both"/>
        <w:rPr>
          <w:sz w:val="24"/>
          <w:lang w:val="es-ES_tradnl"/>
        </w:rPr>
      </w:pPr>
      <w:r>
        <w:rPr>
          <w:sz w:val="24"/>
          <w:lang w:val="es-ES_tradnl"/>
        </w:rPr>
        <w:t>El Consejo Consultivo se une al Comité Consultivo Público Conjunto a instar por la puesta en ejecución del artículo 10(7) del Acuerdo de Cooperación Ambiental de América del Norte que faculta al Consejo de la CCA a elaborar recomendaciones para la realización de evaluaciones de impacto ambiental transfronterizo de proyectos que podrían perjudicar el territorio de otra Parte.</w:t>
      </w:r>
    </w:p>
    <w:p>
      <w:pPr>
        <w:pStyle w:val="Normal"/>
        <w:tabs>
          <w:tab w:val="clear" w:pos="720"/>
          <w:tab w:val="left" w:pos="2010" w:leader="none"/>
          <w:tab w:val="left" w:pos="3975" w:leader="none"/>
          <w:tab w:val="left" w:pos="7800" w:leader="none"/>
          <w:tab w:val="right" w:pos="8691" w:leader="none"/>
        </w:tabs>
        <w:jc w:val="both"/>
        <w:rPr>
          <w:sz w:val="24"/>
          <w:lang w:val="es-ES_tradnl"/>
        </w:rPr>
      </w:pPr>
      <w:r>
        <w:rPr>
          <w:sz w:val="24"/>
          <w:lang w:val="es-ES_tradnl"/>
        </w:rPr>
      </w:r>
    </w:p>
    <w:p>
      <w:pPr>
        <w:pStyle w:val="BodyText"/>
        <w:jc w:val="both"/>
        <w:rPr>
          <w:lang w:val="es-ES_tradnl"/>
        </w:rPr>
      </w:pPr>
      <w:r>
        <w:rPr>
          <w:lang w:val="es-ES_tradnl"/>
        </w:rPr>
        <w:t>4.0 Sobre las emisiones en América del Norte de gases de invernadero y las posibilidades de fomentar la conservación de los bosques, la eficiencia energética y la energía renovable mediante el establecimiento de un régimen de canje de emisiones de carbono</w:t>
      </w:r>
    </w:p>
    <w:p>
      <w:pPr>
        <w:pStyle w:val="Normal"/>
        <w:tabs>
          <w:tab w:val="clear" w:pos="720"/>
          <w:tab w:val="right" w:pos="6321" w:leader="none"/>
        </w:tabs>
        <w:jc w:val="both"/>
        <w:rPr>
          <w:sz w:val="24"/>
          <w:lang w:val="es-ES_tradnl"/>
        </w:rPr>
      </w:pPr>
      <w:r>
        <w:rPr>
          <w:sz w:val="24"/>
          <w:lang w:val="es-ES_tradnl"/>
        </w:rPr>
      </w:r>
    </w:p>
    <w:p>
      <w:pPr>
        <w:pStyle w:val="Normal"/>
        <w:tabs>
          <w:tab w:val="clear" w:pos="720"/>
          <w:tab w:val="right" w:pos="6321" w:leader="none"/>
        </w:tabs>
        <w:jc w:val="both"/>
        <w:rPr>
          <w:sz w:val="24"/>
          <w:lang w:val="es-ES_tradnl"/>
        </w:rPr>
      </w:pPr>
      <w:r>
        <w:rPr>
          <w:sz w:val="24"/>
          <w:lang w:val="es-ES_tradnl"/>
        </w:rPr>
        <w:t>El Consejo Consultivo reconoce el gran reto que encaramos al abordar la compleja dinámica del cambio climático. Se estima que el sector eléctrico da cuenta de alrededor de 35 por ciento de la generación de gases de dióxido de carbono en América del Norte. En ausencia de estrategias nacionales eficaces de reducción del carbono, es muy probable que el incremento futuro de la capacidad de generación aumente de manera significativa las emisiones de carbono a la atmósfera.</w:t>
      </w:r>
    </w:p>
    <w:p>
      <w:pPr>
        <w:pStyle w:val="Normal"/>
        <w:jc w:val="both"/>
        <w:rPr>
          <w:sz w:val="24"/>
          <w:lang w:val="es-ES_tradnl"/>
        </w:rPr>
      </w:pPr>
      <w:r>
        <w:rPr>
          <w:sz w:val="24"/>
          <w:lang w:val="es-ES_tradnl"/>
        </w:rPr>
      </w:r>
    </w:p>
    <w:p>
      <w:pPr>
        <w:pStyle w:val="Normal"/>
        <w:jc w:val="both"/>
        <w:rPr>
          <w:sz w:val="24"/>
          <w:lang w:val="es-ES_tradnl"/>
        </w:rPr>
      </w:pPr>
      <w:r>
        <w:rPr>
          <w:sz w:val="24"/>
          <w:lang w:val="es-ES_tradnl"/>
        </w:rPr>
        <w:t>El Consejo de la CCA ha destacado la necesidad de que las Partes trabajen juntas para explorar de manera activa la aplicación de mecanismos de mercado que reduzcan el carbono mediante su secuestro e incrementen la energía renovable y la eficiencia energética. El Consejo Consultivo subraya las posibilidades de estas estrategias para generar recursos sustanciales de fuentes energéticas más limpias. En consecuencia, el Consejo Consultivo urge a las Partes a movilizarse con prontitud para definir y poner en marcha estrategias compatibles de secuestro del carbono en la región. Las acciones específicas habrán de incluir:</w:t>
      </w:r>
    </w:p>
    <w:p>
      <w:pPr>
        <w:pStyle w:val="Normal"/>
        <w:jc w:val="both"/>
        <w:rPr>
          <w:sz w:val="24"/>
          <w:lang w:val="es-ES_tradnl"/>
        </w:rPr>
      </w:pPr>
      <w:r>
        <w:rPr>
          <w:sz w:val="24"/>
          <w:lang w:val="es-ES_tradnl"/>
        </w:rPr>
      </w:r>
    </w:p>
    <w:p>
      <w:pPr>
        <w:pStyle w:val="Normal"/>
        <w:numPr>
          <w:ilvl w:val="0"/>
          <w:numId w:val="4"/>
        </w:numPr>
        <w:tabs>
          <w:tab w:val="clear" w:pos="720"/>
          <w:tab w:val="right" w:pos="6321" w:leader="none"/>
        </w:tabs>
        <w:jc w:val="both"/>
        <w:rPr>
          <w:sz w:val="24"/>
          <w:lang w:val="es-ES_tradnl"/>
        </w:rPr>
      </w:pPr>
      <w:r>
        <w:rPr>
          <w:sz w:val="24"/>
          <w:lang w:val="es-ES_tradnl"/>
        </w:rPr>
        <w:t>Desarrollo de inventarios de emisiones de gases de invernadero en América del Norte que puedan apoyar la integridad de la puesta en marcha conjunta de los proyectos y las políticas de canje de emisiones de gases.</w:t>
      </w:r>
    </w:p>
    <w:p>
      <w:pPr>
        <w:pStyle w:val="Normal"/>
        <w:numPr>
          <w:ilvl w:val="0"/>
          <w:numId w:val="1"/>
        </w:numPr>
        <w:tabs>
          <w:tab w:val="clear" w:pos="720"/>
          <w:tab w:val="right" w:pos="6321" w:leader="none"/>
        </w:tabs>
        <w:jc w:val="both"/>
        <w:rPr>
          <w:sz w:val="24"/>
          <w:lang w:val="es-ES_tradnl"/>
        </w:rPr>
      </w:pPr>
      <w:r>
        <w:rPr>
          <w:sz w:val="24"/>
          <w:lang w:val="es-ES_tradnl"/>
        </w:rPr>
        <w:t>Establecimiento de un marco de elementos necesarios para un régimen de canje de gases de invernadero en América del Norte.</w:t>
      </w:r>
    </w:p>
    <w:p>
      <w:pPr>
        <w:pStyle w:val="Normal"/>
        <w:numPr>
          <w:ilvl w:val="0"/>
          <w:numId w:val="4"/>
        </w:numPr>
        <w:tabs>
          <w:tab w:val="clear" w:pos="720"/>
          <w:tab w:val="right" w:pos="6321" w:leader="none"/>
        </w:tabs>
        <w:jc w:val="both"/>
        <w:rPr>
          <w:sz w:val="24"/>
          <w:lang w:val="es-ES_tradnl"/>
        </w:rPr>
      </w:pPr>
      <w:r>
        <w:rPr>
          <w:sz w:val="24"/>
          <w:lang w:val="es-ES_tradnl"/>
        </w:rPr>
        <w:t>Demostración de programas piloto en toda América del Norte de que el canje de carbono puede generar recursos para que México acelere sus inversiones, rotación de capital y tecnologías de punta de control de la contaminación.</w:t>
      </w:r>
    </w:p>
    <w:p>
      <w:pPr>
        <w:pStyle w:val="Normal"/>
        <w:tabs>
          <w:tab w:val="clear" w:pos="720"/>
          <w:tab w:val="right" w:pos="8411" w:leader="none"/>
        </w:tabs>
        <w:jc w:val="both"/>
        <w:rPr>
          <w:b/>
          <w:sz w:val="24"/>
          <w:u w:val="single"/>
          <w:lang w:val="es-ES_tradnl"/>
        </w:rPr>
      </w:pPr>
      <w:r>
        <w:rPr>
          <w:b/>
          <w:sz w:val="24"/>
          <w:u w:val="single"/>
          <w:lang w:val="es-ES_tradnl"/>
        </w:rPr>
      </w:r>
    </w:p>
    <w:p>
      <w:pPr>
        <w:pStyle w:val="Normal"/>
        <w:tabs>
          <w:tab w:val="clear" w:pos="720"/>
          <w:tab w:val="right" w:pos="8411" w:leader="none"/>
        </w:tabs>
        <w:jc w:val="both"/>
        <w:rPr>
          <w:b/>
          <w:sz w:val="24"/>
          <w:lang w:val="es-ES_tradnl"/>
        </w:rPr>
      </w:pPr>
      <w:r>
        <w:rPr>
          <w:b/>
          <w:sz w:val="24"/>
          <w:lang w:val="es-ES_tradnl"/>
        </w:rPr>
        <w:t>5.0 Sobre el fomento del desarrollo y uso de fuentes renovables de energía</w:t>
      </w:r>
    </w:p>
    <w:p>
      <w:pPr>
        <w:pStyle w:val="Normal"/>
        <w:tabs>
          <w:tab w:val="clear" w:pos="720"/>
          <w:tab w:val="right" w:pos="7706" w:leader="none"/>
        </w:tabs>
        <w:jc w:val="both"/>
        <w:rPr>
          <w:b/>
          <w:sz w:val="24"/>
          <w:lang w:val="es-ES_tradnl"/>
        </w:rPr>
      </w:pPr>
      <w:r>
        <w:rPr>
          <w:b/>
          <w:sz w:val="24"/>
          <w:lang w:val="es-ES_tradnl"/>
        </w:rPr>
      </w:r>
    </w:p>
    <w:p>
      <w:pPr>
        <w:pStyle w:val="Normal"/>
        <w:tabs>
          <w:tab w:val="clear" w:pos="720"/>
          <w:tab w:val="right" w:pos="7706" w:leader="none"/>
        </w:tabs>
        <w:jc w:val="both"/>
        <w:rPr>
          <w:sz w:val="24"/>
          <w:lang w:val="es-ES_tradnl"/>
        </w:rPr>
      </w:pPr>
      <w:r>
        <w:rPr>
          <w:sz w:val="24"/>
          <w:lang w:val="es-ES_tradnl"/>
        </w:rPr>
        <w:t>Las fuentes de electricidad renovables constituyen un componente crucial de una cartera de energía diversificada que ayude a amortiguar los efectos de las fuentes convencionales. El Consejo Consultivo coincide en que una mejor incorporación del costo ambiental en las tarifas de la electricidad (incluidos, por ejemplo, los costos del sistema de cuidado de la salud y la pérdida de productividad) ayudará a que las reglas del juego sean más parejas para las fuentes renovables de electricidad.</w:t>
      </w:r>
    </w:p>
    <w:p>
      <w:pPr>
        <w:pStyle w:val="Normal"/>
        <w:jc w:val="both"/>
        <w:rPr>
          <w:sz w:val="24"/>
          <w:lang w:val="es-ES_tradnl"/>
        </w:rPr>
      </w:pPr>
      <w:r>
        <w:rPr>
          <w:sz w:val="24"/>
          <w:lang w:val="es-ES_tradnl"/>
        </w:rPr>
      </w:r>
    </w:p>
    <w:p>
      <w:pPr>
        <w:pStyle w:val="Normal"/>
        <w:jc w:val="both"/>
        <w:rPr>
          <w:sz w:val="24"/>
          <w:lang w:val="es-ES_tradnl"/>
        </w:rPr>
      </w:pPr>
      <w:r>
        <w:rPr>
          <w:sz w:val="24"/>
          <w:lang w:val="es-ES_tradnl"/>
        </w:rPr>
        <w:t>Recientemente algunas jurisdicciones y empresarios han introducido mecanismos que permiten al consumidor dedicar parte o la totalidad de su factura de electricidad a fuentes consideradas “limpias” o “renovables” por las jurisdicciones locales o cuerpos de certificación independientes. Si bien es prematuro evaluar los efectos de estos mecanismos, el Consejo Consultivo los considera como avances prometedores y apoya su introducción.</w:t>
      </w:r>
    </w:p>
    <w:p>
      <w:pPr>
        <w:pStyle w:val="Normal"/>
        <w:jc w:val="both"/>
        <w:rPr>
          <w:sz w:val="24"/>
          <w:lang w:val="es-ES_tradnl"/>
        </w:rPr>
      </w:pPr>
      <w:r>
        <w:rPr>
          <w:sz w:val="24"/>
          <w:lang w:val="es-ES_tradnl"/>
        </w:rPr>
      </w:r>
    </w:p>
    <w:p>
      <w:pPr>
        <w:pStyle w:val="Normal"/>
        <w:numPr>
          <w:ilvl w:val="0"/>
          <w:numId w:val="6"/>
        </w:numPr>
        <w:tabs>
          <w:tab w:val="clear" w:pos="720"/>
          <w:tab w:val="left" w:pos="360" w:leader="none"/>
        </w:tabs>
        <w:jc w:val="both"/>
        <w:rPr>
          <w:sz w:val="24"/>
          <w:lang w:val="es-ES_tradnl"/>
        </w:rPr>
      </w:pPr>
      <w:r>
        <w:rPr>
          <w:sz w:val="24"/>
          <w:lang w:val="es-ES_tradnl"/>
        </w:rPr>
        <w:t xml:space="preserve">Se deben realizar esfuerzos firmes para apoyar la energía renovable, incluidos incentivos tanto de mercado como fiscales y fondos de investigación y desarrollo. </w:t>
      </w:r>
    </w:p>
    <w:p>
      <w:pPr>
        <w:pStyle w:val="Normal"/>
        <w:numPr>
          <w:ilvl w:val="0"/>
          <w:numId w:val="6"/>
        </w:numPr>
        <w:tabs>
          <w:tab w:val="clear" w:pos="720"/>
          <w:tab w:val="left" w:pos="360" w:leader="none"/>
        </w:tabs>
        <w:jc w:val="both"/>
        <w:rPr>
          <w:sz w:val="24"/>
          <w:lang w:val="es-ES_tradnl"/>
        </w:rPr>
      </w:pPr>
      <w:r>
        <w:rPr>
          <w:sz w:val="24"/>
          <w:lang w:val="es-ES_tradnl"/>
        </w:rPr>
        <w:t>Se debería iniciar un diálogo entre industria, gobierno y ONG para explorar oportunidades de desarrollo de un enfoque regional más congruente para definir energía ‘“renovable”, así como una comprensión más cabal de los principios fundamentales de las varias definiciones existentes.</w:t>
      </w:r>
    </w:p>
    <w:p>
      <w:pPr>
        <w:pStyle w:val="Normal"/>
        <w:tabs>
          <w:tab w:val="clear" w:pos="720"/>
          <w:tab w:val="left" w:pos="360" w:leader="none"/>
        </w:tabs>
        <w:jc w:val="both"/>
        <w:rPr>
          <w:sz w:val="24"/>
          <w:lang w:val="es-ES_tradnl"/>
        </w:rPr>
      </w:pPr>
      <w:r>
        <w:rPr>
          <w:sz w:val="24"/>
          <w:lang w:val="es-ES_tradnl"/>
        </w:rPr>
      </w:r>
    </w:p>
    <w:p>
      <w:pPr>
        <w:pStyle w:val="Normal"/>
        <w:jc w:val="both"/>
        <w:rPr>
          <w:b/>
          <w:sz w:val="24"/>
          <w:lang w:val="es-ES_tradnl"/>
        </w:rPr>
      </w:pPr>
      <w:r>
        <w:rPr>
          <w:b/>
          <w:sz w:val="24"/>
          <w:lang w:val="es-ES_tradnl"/>
        </w:rPr>
        <w:t>6.0 Sobre las medidas por el lado de la demanda para conservar la electricidad y fomentar la energía eléctrica ambientalmente preferible</w:t>
      </w:r>
    </w:p>
    <w:p>
      <w:pPr>
        <w:pStyle w:val="Normal"/>
        <w:jc w:val="both"/>
        <w:rPr>
          <w:b/>
          <w:sz w:val="24"/>
          <w:lang w:val="es-ES_tradnl"/>
        </w:rPr>
      </w:pPr>
      <w:r>
        <w:rPr>
          <w:b/>
          <w:sz w:val="24"/>
          <w:lang w:val="es-ES_tradnl"/>
        </w:rPr>
      </w:r>
    </w:p>
    <w:p>
      <w:pPr>
        <w:pStyle w:val="Normal"/>
        <w:jc w:val="both"/>
        <w:rPr>
          <w:sz w:val="24"/>
          <w:lang w:val="es-ES_tradnl"/>
        </w:rPr>
      </w:pPr>
      <w:r>
        <w:rPr>
          <w:sz w:val="24"/>
          <w:lang w:val="es-ES_tradnl"/>
        </w:rPr>
        <w:t>Junto con otras políticas de apoyo, son múltiples las medidas de conservación por el lado de la demanda que constituyen herramientas políticas eficaces para manejar aspectos de la oferta de electricidad. Un conjunto de programas, enfoques e iniciativas disponibles tiene ya tiempo aplicándose con un historial de rentabilidad.</w:t>
      </w:r>
    </w:p>
    <w:p>
      <w:pPr>
        <w:pStyle w:val="Normal"/>
        <w:jc w:val="both"/>
        <w:rPr>
          <w:sz w:val="24"/>
          <w:lang w:val="es-ES_tradnl"/>
        </w:rPr>
      </w:pPr>
      <w:r>
        <w:rPr>
          <w:sz w:val="24"/>
          <w:lang w:val="es-ES_tradnl"/>
        </w:rPr>
      </w:r>
    </w:p>
    <w:p>
      <w:pPr>
        <w:pStyle w:val="Normal"/>
        <w:jc w:val="both"/>
        <w:rPr>
          <w:b/>
          <w:sz w:val="24"/>
          <w:lang w:val="es-ES_tradnl"/>
        </w:rPr>
      </w:pPr>
      <w:r>
        <w:rPr>
          <w:b/>
          <w:sz w:val="24"/>
          <w:lang w:val="es-ES_tradnl"/>
        </w:rPr>
        <w:t>7.0  Sobre la transferencia de tecnología y la ayuda para adoptar tecnologías de generación más limpia</w:t>
      </w:r>
    </w:p>
    <w:p>
      <w:pPr>
        <w:pStyle w:val="Normal"/>
        <w:jc w:val="both"/>
        <w:rPr>
          <w:b/>
          <w:sz w:val="24"/>
          <w:lang w:val="es-ES_tradnl"/>
        </w:rPr>
      </w:pPr>
      <w:r>
        <w:rPr>
          <w:b/>
          <w:sz w:val="24"/>
          <w:lang w:val="es-ES_tradnl"/>
        </w:rPr>
      </w:r>
    </w:p>
    <w:p>
      <w:pPr>
        <w:pStyle w:val="Normal"/>
        <w:jc w:val="both"/>
        <w:rPr>
          <w:sz w:val="24"/>
          <w:lang w:val="es-ES_tradnl"/>
        </w:rPr>
      </w:pPr>
      <w:r>
        <w:rPr>
          <w:sz w:val="24"/>
          <w:lang w:val="es-ES_tradnl"/>
        </w:rPr>
        <w:t>La integración más profunda del mercado ofrece la posibilidad de aumentar la inversión en tecnologías e infraestructura más limpias, aumentar la rotación de capital del equipo más viejo y acelerar la difusión de nuevas tecnologías. Los gobiernos deben continuar apoyando estructuras de política que catalicen estos efectos positivos por medio de:</w:t>
      </w:r>
    </w:p>
    <w:p>
      <w:pPr>
        <w:pStyle w:val="Normal"/>
        <w:jc w:val="both"/>
        <w:rPr>
          <w:sz w:val="24"/>
          <w:lang w:val="es-ES_tradnl"/>
        </w:rPr>
      </w:pPr>
      <w:r>
        <w:rPr>
          <w:sz w:val="24"/>
          <w:lang w:val="es-ES_tradnl"/>
        </w:rPr>
      </w:r>
    </w:p>
    <w:p>
      <w:pPr>
        <w:pStyle w:val="Normal"/>
        <w:numPr>
          <w:ilvl w:val="0"/>
          <w:numId w:val="6"/>
        </w:numPr>
        <w:tabs>
          <w:tab w:val="clear" w:pos="720"/>
          <w:tab w:val="left" w:pos="360" w:leader="none"/>
        </w:tabs>
        <w:jc w:val="both"/>
        <w:rPr>
          <w:sz w:val="24"/>
          <w:lang w:val="es-ES_tradnl"/>
        </w:rPr>
      </w:pPr>
      <w:r>
        <w:rPr>
          <w:sz w:val="24"/>
          <w:lang w:val="es-ES_tradnl"/>
        </w:rPr>
        <w:t>La eliminación de aranceles y otras restricciones a la venta y la exportación de productos renovables (celdas de combustible, páneles solares, turbinas) y tecnologías avanzadas de control de la contaminación.</w:t>
      </w:r>
    </w:p>
    <w:p>
      <w:pPr>
        <w:pStyle w:val="Normal"/>
        <w:jc w:val="both"/>
        <w:rPr>
          <w:sz w:val="24"/>
          <w:lang w:val="es-ES_tradnl"/>
        </w:rPr>
      </w:pPr>
      <w:r>
        <w:rPr>
          <w:sz w:val="24"/>
          <w:lang w:val="es-ES_tradnl"/>
        </w:rPr>
      </w:r>
    </w:p>
    <w:p>
      <w:pPr>
        <w:pStyle w:val="Normal"/>
        <w:numPr>
          <w:ilvl w:val="0"/>
          <w:numId w:val="6"/>
        </w:numPr>
        <w:tabs>
          <w:tab w:val="clear" w:pos="720"/>
          <w:tab w:val="left" w:pos="360" w:leader="none"/>
        </w:tabs>
        <w:jc w:val="both"/>
        <w:rPr>
          <w:sz w:val="24"/>
          <w:lang w:val="es-ES_tradnl"/>
        </w:rPr>
      </w:pPr>
      <w:r>
        <w:rPr>
          <w:sz w:val="24"/>
          <w:lang w:val="es-ES_tradnl"/>
        </w:rPr>
        <w:t>Mayores incentivos para la investigación y el desarrollo de tecnologías más limpias en América del Norte.</w:t>
      </w:r>
    </w:p>
    <w:p>
      <w:pPr>
        <w:pStyle w:val="Normal"/>
        <w:numPr>
          <w:ilvl w:val="0"/>
          <w:numId w:val="0"/>
        </w:numPr>
        <w:ind w:hanging="0" w:start="0"/>
        <w:jc w:val="both"/>
        <w:rPr>
          <w:sz w:val="24"/>
          <w:lang w:val="es-ES_tradnl"/>
        </w:rPr>
      </w:pPr>
      <w:r>
        <w:rPr>
          <w:sz w:val="24"/>
          <w:lang w:val="es-ES_tradnl"/>
        </w:rPr>
      </w:r>
    </w:p>
    <w:p>
      <w:pPr>
        <w:pStyle w:val="Normal"/>
        <w:numPr>
          <w:ilvl w:val="0"/>
          <w:numId w:val="6"/>
        </w:numPr>
        <w:tabs>
          <w:tab w:val="clear" w:pos="720"/>
          <w:tab w:val="left" w:pos="360" w:leader="none"/>
        </w:tabs>
        <w:jc w:val="both"/>
        <w:rPr>
          <w:sz w:val="24"/>
          <w:lang w:val="es-ES_tradnl"/>
        </w:rPr>
      </w:pPr>
      <w:r>
        <w:rPr>
          <w:sz w:val="24"/>
          <w:lang w:val="es-ES_tradnl"/>
        </w:rPr>
        <w:t>La creación de mecanismos de financiamiento en América del Norte para fomentar la adopción de las mejores tecnologías disponibles de control y las mejores prácticas en eficiencia energética y conservación.</w:t>
      </w:r>
    </w:p>
    <w:p>
      <w:pPr>
        <w:pStyle w:val="Normal"/>
        <w:jc w:val="both"/>
        <w:rPr>
          <w:sz w:val="24"/>
          <w:lang w:val="es-ES_tradnl"/>
        </w:rPr>
      </w:pPr>
      <w:r>
        <w:rPr>
          <w:sz w:val="24"/>
          <w:lang w:val="es-ES_tradnl"/>
        </w:rPr>
      </w:r>
    </w:p>
    <w:sectPr>
      <w:footerReference w:type="default" r:id="rId2"/>
      <w:footerReference w:type="first" r:id="rId3"/>
      <w:type w:val="nextPage"/>
      <w:pgSz w:w="12240" w:h="15840"/>
      <w:pgMar w:left="720" w:right="720" w:gutter="0" w:header="0" w:top="1872" w:footer="72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71120" cy="146050"/>
              <wp:effectExtent l="0" t="0" r="0" b="0"/>
              <wp:wrapSquare wrapText="bothSides"/>
              <wp:docPr id="1" name="Frame1"/>
              <a:graphic xmlns:a="http://schemas.openxmlformats.org/drawingml/2006/main">
                <a:graphicData uri="http://schemas.microsoft.com/office/word/2010/wordprocessingShape">
                  <wps:wsp>
                    <wps:cNvSpPr txBox="1"/>
                    <wps:spPr>
                      <a:xfrm>
                        <a:off x="0" y="0"/>
                        <a:ext cx="71120" cy="14605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6pt;height:11.5pt;mso-wrap-distance-left:0pt;mso-wrap-distance-right:0pt;mso-wrap-distance-top:0pt;mso-wrap-distance-bottom:0pt;margin-top:0.05pt;mso-position-vertical-relative:text;margin-left:534.4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2"/>
      <w:numFmt w:val="decimal"/>
      <w:lvlText w:val="%1.0"/>
      <w:lvlJc w:val="start"/>
      <w:pPr>
        <w:tabs>
          <w:tab w:val="num" w:pos="360"/>
        </w:tabs>
        <w:ind w:start="36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6">
    <w:lvl w:ilvl="0">
      <w:numFmt w:val="bullet"/>
      <w:lvlText w:val=""/>
      <w:lvlJc w:val="start"/>
      <w:pPr>
        <w:tabs>
          <w:tab w:val="num" w:pos="360"/>
        </w:tabs>
        <w:ind w:start="360" w:hanging="360"/>
      </w:pPr>
      <w:rPr>
        <w:rFonts w:ascii="Symbol" w:hAnsi="Symbol" w:cs="Symbol" w:hint="default"/>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81"/>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u w:val="single"/>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720"/>
        <w:tab w:val="right" w:pos="8411" w:leader="none"/>
      </w:tabs>
      <w:jc w:val="center"/>
    </w:pPr>
    <w:rPr>
      <w:b/>
      <w:sz w:val="28"/>
      <w:u w:val="single"/>
      <w:lang w:val="es-ES_tradnl"/>
    </w:rPr>
  </w:style>
  <w:style w:type="paragraph" w:styleId="BodyText">
    <w:name w:val="Body Text"/>
    <w:basedOn w:val="Normal"/>
    <w:pPr>
      <w:tabs>
        <w:tab w:val="clear" w:pos="720"/>
        <w:tab w:val="right" w:pos="6321" w:leader="none"/>
      </w:tabs>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Arial" w:hAnsi="Arial" w:cs="Arial"/>
      <w:lang w:val="en-CA"/>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2001-12-20T20:23:00Z</dcterms:created>
  <dc:creator>CNACE</dc:creator>
  <dc:description/>
  <dc:language>en-CA</dc:language>
  <cp:lastModifiedBy>Martine Veilleux</cp:lastModifiedBy>
  <cp:lastPrinted>2001-12-14T14:33:00Z</cp:lastPrinted>
  <dcterms:modified xsi:type="dcterms:W3CDTF">2001-12-21T17:01:00Z</dcterms:modified>
  <cp:revision>5</cp:revision>
  <dc:subject/>
  <dc:title>PROMOTING THE DEVELOPMENT AND USE OF RENEWABLE</dc:title>
</cp:coreProperties>
</file>