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SECTION 1.  Section 372.5 of the Public Utilities Code is added to read:</w:t>
      </w:r>
    </w:p>
    <w:p>
      <w:pPr>
        <w:pStyle w:val="Normal"/>
        <w:rPr/>
      </w:pPr>
      <w:r>
        <w:rPr/>
      </w:r>
    </w:p>
    <w:p>
      <w:pPr>
        <w:pStyle w:val="Normal"/>
        <w:ind w:start="585" w:end="0"/>
        <w:rPr/>
      </w:pPr>
      <w:r>
        <w:rPr/>
        <w:t>372.5. (a) For purposes of this section, “self-generation,” “customer-specific generation” and “cogeneration” are gas-fired or renewable electric generation facilities located on or near a retail electricity user’s site of production, service or operation and which supply that retail customer with electric energy.  The electricity is transmitted for use over transmission facilities owned by the customer, subject to the provisions of Section 218.</w:t>
      </w:r>
    </w:p>
    <w:p>
      <w:pPr>
        <w:pStyle w:val="Normal"/>
        <w:rPr/>
      </w:pPr>
      <w:r>
        <w:rPr/>
      </w:r>
    </w:p>
    <w:p>
      <w:pPr>
        <w:pStyle w:val="BodyTextIndent"/>
        <w:rPr/>
      </w:pPr>
      <w:r>
        <w:rPr/>
        <w:t>(b) The Legislature finds and declares all of the following:</w:t>
      </w:r>
    </w:p>
    <w:p>
      <w:pPr>
        <w:pStyle w:val="Normal"/>
        <w:numPr>
          <w:ilvl w:val="0"/>
          <w:numId w:val="2"/>
        </w:numPr>
        <w:spacing w:before="120" w:after="0"/>
        <w:rPr/>
      </w:pPr>
      <w:r>
        <w:rPr/>
        <w:t>Self-generation increases the fuel efficiency of electric generation by employing state of the art technologies and enhances the overall efficiency of the transmission system by reducing line losses that would otherwise result if the electric power were imported at longer distances from the user’s site of operations.</w:t>
      </w:r>
    </w:p>
    <w:p>
      <w:pPr>
        <w:pStyle w:val="Normal"/>
        <w:numPr>
          <w:ilvl w:val="0"/>
          <w:numId w:val="2"/>
        </w:numPr>
        <w:spacing w:before="120" w:after="0"/>
        <w:rPr/>
      </w:pPr>
      <w:r>
        <w:rPr/>
        <w:t>The benefits of installing self-generation accrue to all customers in the form of greater transmission grid reliability because it reduces grid peak load requirements thereby relieving congestion on the statewide transmission system, forestalling costly grid expansion and providing voltage support to grid operations.</w:t>
      </w:r>
    </w:p>
    <w:p>
      <w:pPr>
        <w:pStyle w:val="Normal"/>
        <w:numPr>
          <w:ilvl w:val="0"/>
          <w:numId w:val="2"/>
        </w:numPr>
        <w:spacing w:before="120" w:after="0"/>
        <w:rPr/>
      </w:pPr>
      <w:r>
        <w:rPr/>
        <w:t>Investments in self-generation expand electricity supply dedicated to California-based facilities and load and thereby decrease dependence on electric imports, reducing the burden and necessity for state procurement of electricity and providing customers with cost-effective tools for managing their energy costs.</w:t>
      </w:r>
    </w:p>
    <w:p>
      <w:pPr>
        <w:pStyle w:val="Normal"/>
        <w:rPr/>
      </w:pPr>
      <w:r>
        <w:rPr/>
      </w:r>
    </w:p>
    <w:p>
      <w:pPr>
        <w:pStyle w:val="BodyTextIndent"/>
        <w:rPr/>
      </w:pPr>
      <w:r>
        <w:rPr/>
        <w:t>(c) It is the intent of the Legislature, in enacting this section, to establish a policy of encouraging business and industry, and other public and private organizations, to become self-reliant in the generation and supply of electricity through investment and installation of clean and efficient self-generation facilities.  In furtherance of this policy, the Commission, Independent System Operator, Electricity Oversight Board, Department of Water Resources and Energy Resources Development Commission, as appropriate, shall implement policies that incentivize diversification of the state’s energy supply through investment in customer-specific generation, to include the following:</w:t>
      </w:r>
    </w:p>
    <w:p>
      <w:pPr>
        <w:pStyle w:val="Normal"/>
        <w:numPr>
          <w:ilvl w:val="0"/>
          <w:numId w:val="1"/>
        </w:numPr>
        <w:spacing w:before="120" w:after="0"/>
        <w:rPr/>
      </w:pPr>
      <w:r>
        <w:rPr/>
        <w:t>Customers installing generation as defined in paragraph (a) of this section that are operational no later than December 31, 2005 shall not be subject to fees, charges or dedicated rate components on new or incremental load for the purpose of paying for revenue bonds authorized under Section ____ to service debt resulting from under collections of revenue requirements in any utility service territory, and, for the purpose of paying for long-term power purchase contracts or any obligation by the department to procure power for delivery after the self-generation facility has become operational.</w:t>
      </w:r>
    </w:p>
    <w:p>
      <w:pPr>
        <w:pStyle w:val="Normal"/>
        <w:numPr>
          <w:ilvl w:val="0"/>
          <w:numId w:val="1"/>
        </w:numPr>
        <w:spacing w:before="120" w:after="0"/>
        <w:rPr/>
      </w:pPr>
      <w:r>
        <w:rPr/>
        <w:t>The Electricity Oversight Board shall direct the Independent System Operator to insure that tariffs filed with the Federal Energy Regulatory Commission implement net metering principles for load served by customer–specific generation whereby grid management charges are not applied to load generated and used onsite by the customer.  The Electricity Oversight Board may authorize the system operator to include a grid management charge as part of a customer-specific generator standby charge pursuant to current commission rules for standby customers, or as a charge on load sold to another end user by the customer pursuant to Section 218.  The Independent System Operator shall operate reliability criteria no less stringent than that of the Western Systems Coordinating Council, except that, consistent with California historical practices, the Independent System Operator shall not procure ancillary services or operating reserves for a retail customer’s consumption of electric energy that is satisfied by self-generation.</w:t>
      </w:r>
    </w:p>
    <w:p>
      <w:pPr>
        <w:pStyle w:val="Normal"/>
        <w:numPr>
          <w:ilvl w:val="0"/>
          <w:numId w:val="1"/>
        </w:numPr>
        <w:spacing w:before="120" w:after="0"/>
        <w:rPr/>
      </w:pPr>
      <w:r>
        <w:rPr/>
        <w:t xml:space="preserve">In recognition of the integrated relationship between customer-specific generation and load required to serve the customer’s primary, non electric generating operations, self-generation as defined in this section, shall not be subject to commission or Independent System Operator oversight or regulation.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Self-gen Draft</w:t>
    </w:r>
    <w:r>
      <w:rPr/>
      <w:t xml:space="preserve"> &gt; 7/8/01 12:44 PM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rPr/>
    </w:lvl>
  </w:abstractNum>
  <w:abstractNum w:abstractNumId="2">
    <w:lvl w:ilvl="0">
      <w:start w:val="1"/>
      <w:numFmt w:val="decimal"/>
      <w:lvlText w:val="(%1)"/>
      <w:lvlJc w:val="start"/>
      <w:pPr>
        <w:tabs>
          <w:tab w:val="num" w:pos="1800"/>
        </w:tabs>
        <w:ind w:start="18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585"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2001-07-08T11:49:00Z</dcterms:created>
  <dc:creator>KAHL/POWNALL COMPANIES</dc:creator>
  <dc:description/>
  <dc:language>en-CA</dc:language>
  <cp:lastModifiedBy>KAHL/POWNALL COMPANIES</cp:lastModifiedBy>
  <cp:lastPrinted>2001-07-08T11:05:00Z</cp:lastPrinted>
  <dcterms:modified xsi:type="dcterms:W3CDTF">2001-07-08T17:15:00Z</dcterms:modified>
  <cp:revision>20</cp:revision>
  <dc:subject/>
  <dc:title>SECTION 1</dc:title>
</cp:coreProperties>
</file>