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8411" w:leader="none"/>
        </w:tabs>
        <w:jc w:val="center"/>
        <w:rPr>
          <w:b/>
          <w:sz w:val="28"/>
          <w:u w:val="single"/>
          <w:lang w:val="fr-CA"/>
        </w:rPr>
      </w:pPr>
      <w:r>
        <w:rPr>
          <w:b/>
          <w:sz w:val="28"/>
          <w:u w:val="single"/>
          <w:lang w:val="fr-CA"/>
        </w:rPr>
        <w:t>Version provisoire</w:t>
      </w:r>
    </w:p>
    <w:p>
      <w:pPr>
        <w:pStyle w:val="Normal"/>
        <w:tabs>
          <w:tab w:val="clear" w:pos="720"/>
          <w:tab w:val="right" w:pos="8411" w:leader="none"/>
        </w:tabs>
        <w:jc w:val="center"/>
        <w:rPr>
          <w:b/>
          <w:sz w:val="24"/>
          <w:u w:val="single"/>
          <w:lang w:val="fr-CA"/>
        </w:rPr>
      </w:pPr>
      <w:r>
        <w:rPr>
          <w:b/>
          <w:sz w:val="24"/>
          <w:u w:val="single"/>
          <w:lang w:val="fr-CA"/>
        </w:rPr>
      </w:r>
    </w:p>
    <w:p>
      <w:pPr>
        <w:pStyle w:val="Normal"/>
        <w:pBdr>
          <w:top w:val="single" w:sz="4" w:space="1" w:color="000000" w:shadow="1"/>
          <w:left w:val="single" w:sz="4" w:space="4" w:color="000000" w:shadow="1"/>
          <w:bottom w:val="single" w:sz="4" w:space="1" w:color="000000" w:shadow="1"/>
          <w:right w:val="single" w:sz="4" w:space="4" w:color="000000" w:shadow="1"/>
        </w:pBdr>
        <w:shd w:fill="DFDFDF" w:val="clear"/>
        <w:jc w:val="center"/>
        <w:rPr>
          <w:rFonts w:ascii="Arial" w:hAnsi="Arial" w:cs="Arial"/>
          <w:b/>
          <w:sz w:val="28"/>
          <w:u w:val="single"/>
          <w:lang w:val="fr-CA"/>
        </w:rPr>
      </w:pPr>
      <w:r>
        <w:rPr>
          <w:rFonts w:cs="Arial" w:ascii="Arial" w:hAnsi="Arial"/>
          <w:b/>
          <w:sz w:val="28"/>
          <w:u w:val="single"/>
          <w:lang w:val="fr-CA"/>
        </w:rPr>
      </w:r>
    </w:p>
    <w:p>
      <w:pPr>
        <w:pStyle w:val="Normal"/>
        <w:pBdr>
          <w:top w:val="single" w:sz="4" w:space="1" w:color="000000" w:shadow="1"/>
          <w:left w:val="single" w:sz="4" w:space="4" w:color="000000" w:shadow="1"/>
          <w:bottom w:val="single" w:sz="4" w:space="1" w:color="000000" w:shadow="1"/>
          <w:right w:val="single" w:sz="4" w:space="4" w:color="000000" w:shadow="1"/>
        </w:pBdr>
        <w:shd w:fill="DFDFDF" w:val="clear"/>
        <w:jc w:val="center"/>
        <w:rPr>
          <w:rFonts w:ascii="Arial" w:hAnsi="Arial" w:cs="Arial"/>
          <w:b/>
          <w:sz w:val="28"/>
          <w:lang w:val="fr-CA"/>
        </w:rPr>
      </w:pPr>
      <w:r>
        <w:rPr>
          <w:rFonts w:cs="Arial" w:ascii="Arial" w:hAnsi="Arial"/>
          <w:b/>
          <w:sz w:val="28"/>
          <w:lang w:val="fr-CA"/>
        </w:rPr>
        <w:t>Déclaration et recommandations du Conseil consultatif</w:t>
      </w:r>
    </w:p>
    <w:p>
      <w:pPr>
        <w:pStyle w:val="Normal"/>
        <w:pBdr>
          <w:top w:val="single" w:sz="4" w:space="1" w:color="000000" w:shadow="1"/>
          <w:left w:val="single" w:sz="4" w:space="4" w:color="000000" w:shadow="1"/>
          <w:bottom w:val="single" w:sz="4" w:space="1" w:color="000000" w:shadow="1"/>
          <w:right w:val="single" w:sz="4" w:space="4" w:color="000000" w:shadow="1"/>
        </w:pBdr>
        <w:shd w:fill="DFDFDF" w:val="clear"/>
        <w:jc w:val="center"/>
        <w:rPr>
          <w:rFonts w:ascii="Arial" w:hAnsi="Arial" w:cs="Arial"/>
          <w:b/>
          <w:sz w:val="28"/>
          <w:lang w:val="fr-CA"/>
        </w:rPr>
      </w:pPr>
      <w:r>
        <w:rPr>
          <w:rFonts w:cs="Arial" w:ascii="Arial" w:hAnsi="Arial"/>
          <w:b/>
          <w:sz w:val="28"/>
          <w:lang w:val="fr-CA"/>
        </w:rPr>
        <w:t>de la CCE sur la restructuration du secteur de l’électricité et l’environnement</w:t>
      </w:r>
    </w:p>
    <w:p>
      <w:pPr>
        <w:pStyle w:val="Normal"/>
        <w:pBdr>
          <w:top w:val="single" w:sz="4" w:space="1" w:color="000000" w:shadow="1"/>
          <w:left w:val="single" w:sz="4" w:space="4" w:color="000000" w:shadow="1"/>
          <w:bottom w:val="single" w:sz="4" w:space="1" w:color="000000" w:shadow="1"/>
          <w:right w:val="single" w:sz="4" w:space="4" w:color="000000" w:shadow="1"/>
        </w:pBdr>
        <w:shd w:fill="DFDFDF" w:val="clear"/>
        <w:jc w:val="center"/>
        <w:rPr>
          <w:rFonts w:ascii="Arial" w:hAnsi="Arial" w:cs="Arial"/>
          <w:b/>
          <w:sz w:val="28"/>
          <w:lang w:val="fr-CA"/>
        </w:rPr>
      </w:pPr>
      <w:r>
        <w:rPr>
          <w:rFonts w:cs="Arial" w:ascii="Arial" w:hAnsi="Arial"/>
          <w:b/>
          <w:sz w:val="28"/>
          <w:lang w:val="fr-CA"/>
        </w:rPr>
        <w:t>La Jolla, Californie</w:t>
      </w:r>
    </w:p>
    <w:p>
      <w:pPr>
        <w:pStyle w:val="Normal"/>
        <w:pBdr>
          <w:top w:val="single" w:sz="4" w:space="1" w:color="000000" w:shadow="1"/>
          <w:left w:val="single" w:sz="4" w:space="4" w:color="000000" w:shadow="1"/>
          <w:bottom w:val="single" w:sz="4" w:space="1" w:color="000000" w:shadow="1"/>
          <w:right w:val="single" w:sz="4" w:space="4" w:color="000000" w:shadow="1"/>
        </w:pBdr>
        <w:shd w:fill="DFDFDF" w:val="clear"/>
        <w:jc w:val="center"/>
        <w:rPr>
          <w:rFonts w:ascii="Arial" w:hAnsi="Arial" w:cs="Arial"/>
          <w:b/>
          <w:sz w:val="28"/>
          <w:lang w:val="fr-CA"/>
        </w:rPr>
      </w:pPr>
      <w:r>
        <w:rPr>
          <w:rFonts w:cs="Arial" w:ascii="Arial" w:hAnsi="Arial"/>
          <w:b/>
          <w:sz w:val="28"/>
          <w:lang w:val="fr-CA"/>
        </w:rPr>
        <w:t>29 novembre 2001</w:t>
      </w:r>
    </w:p>
    <w:p>
      <w:pPr>
        <w:pStyle w:val="Normal"/>
        <w:pBdr>
          <w:top w:val="single" w:sz="4" w:space="1" w:color="000000" w:shadow="1"/>
          <w:left w:val="single" w:sz="4" w:space="4" w:color="000000" w:shadow="1"/>
          <w:bottom w:val="single" w:sz="4" w:space="1" w:color="000000" w:shadow="1"/>
          <w:right w:val="single" w:sz="4" w:space="4" w:color="000000" w:shadow="1"/>
        </w:pBdr>
        <w:shd w:fill="DFDFDF" w:val="clear"/>
        <w:rPr>
          <w:rFonts w:ascii="Arial" w:hAnsi="Arial" w:cs="Arial"/>
          <w:b/>
          <w:sz w:val="28"/>
          <w:lang w:val="fr-CA"/>
        </w:rPr>
      </w:pPr>
      <w:r>
        <w:rPr>
          <w:rFonts w:cs="Arial" w:ascii="Arial" w:hAnsi="Arial"/>
          <w:b/>
          <w:sz w:val="28"/>
          <w:lang w:val="fr-CA"/>
        </w:rPr>
      </w:r>
    </w:p>
    <w:p>
      <w:pPr>
        <w:pStyle w:val="Normal"/>
        <w:rPr>
          <w:rFonts w:ascii="Arial" w:hAnsi="Arial" w:cs="Arial"/>
          <w:b/>
          <w:sz w:val="24"/>
          <w:lang w:val="fr-CA"/>
        </w:rPr>
      </w:pPr>
      <w:r>
        <w:rPr>
          <w:rFonts w:cs="Arial" w:ascii="Arial" w:hAnsi="Arial"/>
          <w:b/>
          <w:sz w:val="24"/>
          <w:lang w:val="fr-CA"/>
        </w:rPr>
      </w:r>
    </w:p>
    <w:p>
      <w:pPr>
        <w:pStyle w:val="Normal"/>
        <w:jc w:val="both"/>
        <w:rPr>
          <w:sz w:val="24"/>
          <w:lang w:val="fr-CA"/>
        </w:rPr>
      </w:pPr>
      <w:r>
        <w:rPr>
          <w:sz w:val="24"/>
          <w:lang w:val="fr-CA"/>
        </w:rPr>
        <w:t>Jadis une idée chimérique, l’établissement d’un marché nord-américain de l’électricité est aujourd’hui plus prometteur que jamais. Bien que les liens énergétiques continentaux ne soient pas encore largement reconnus, ils n’ont cessé de se multiplier au cours des deux dernières décennies, donnant naissance à un réseau complexe de transactions et de relations transfrontalières. Ainsi, la vente d’électricité de la Colombie-Britannique à l’État de Baja California, la construction de l’oléoduc d’Alliance Pipeline, long de 3 700 kilomètres, pour le transport du gaz naturel de l’Ouest canadien jusqu’à Chicago, et le fait que l’épaisseur du manteau neigeux dans l’Est du Canada ait des répercussions directes sur les prix de gros de l’électricité dans la région centre-nord des États-Unis et en Nouvelle-Angleterre, sont des exemples éloquents de ces nouveaux liens régionaux.</w:t>
      </w:r>
    </w:p>
    <w:p>
      <w:pPr>
        <w:pStyle w:val="Normal"/>
        <w:jc w:val="both"/>
        <w:rPr>
          <w:sz w:val="24"/>
          <w:lang w:val="fr-CA"/>
        </w:rPr>
      </w:pPr>
      <w:r>
        <w:rPr>
          <w:sz w:val="24"/>
          <w:lang w:val="fr-CA"/>
        </w:rPr>
      </w:r>
    </w:p>
    <w:p>
      <w:pPr>
        <w:pStyle w:val="Normal"/>
        <w:jc w:val="both"/>
        <w:rPr>
          <w:sz w:val="24"/>
          <w:lang w:val="fr-CA"/>
        </w:rPr>
      </w:pPr>
      <w:r>
        <w:rPr>
          <w:sz w:val="24"/>
          <w:lang w:val="fr-CA"/>
        </w:rPr>
        <w:t>Si le processus menant à une plus grande intégration des économies est bel et bien amorcé, il importe aussi de s’attacher à régler les problèmes environnementaux connexes. Ce faisant, nous devons reconnaître les différences qui nous caractérisent — sur le plan tant national que régional — pour nous assurer que les mesures adoptées vont dans le sens des préoccupations de la population de tout le continent.</w:t>
      </w:r>
    </w:p>
    <w:p>
      <w:pPr>
        <w:pStyle w:val="Normal"/>
        <w:jc w:val="both"/>
        <w:rPr>
          <w:sz w:val="24"/>
          <w:lang w:val="fr-CA"/>
        </w:rPr>
      </w:pPr>
      <w:r>
        <w:rPr>
          <w:sz w:val="24"/>
          <w:lang w:val="fr-CA"/>
        </w:rPr>
      </w:r>
    </w:p>
    <w:p>
      <w:pPr>
        <w:pStyle w:val="Normal"/>
        <w:jc w:val="both"/>
        <w:rPr>
          <w:sz w:val="24"/>
          <w:lang w:val="fr-CA"/>
        </w:rPr>
      </w:pPr>
      <w:r>
        <w:rPr>
          <w:sz w:val="24"/>
          <w:lang w:val="fr-CA"/>
        </w:rPr>
        <w:t>Des sources d’électricité abordables et fiables contribuent à la stabilité économique qui, à son tour, favorise la prospérité, et les politiques visant la durabilité de l’approvisionnement énergétique demeurent un élément essentiel de notre bien-être économique. Mais il ne faut pas non plus oublier les importantes répercussions sur la santé humaine et sur les écosystèmes qui sont attribuables à l’électricité, que ce soit ses sources, sa production, sa distribution et sa consommation.</w:t>
      </w:r>
    </w:p>
    <w:p>
      <w:pPr>
        <w:pStyle w:val="Normal"/>
        <w:jc w:val="both"/>
        <w:rPr>
          <w:sz w:val="24"/>
          <w:lang w:val="fr-CA"/>
        </w:rPr>
      </w:pPr>
      <w:r>
        <w:rPr>
          <w:sz w:val="24"/>
          <w:lang w:val="fr-CA"/>
        </w:rPr>
      </w:r>
    </w:p>
    <w:p>
      <w:pPr>
        <w:pStyle w:val="Normal"/>
        <w:jc w:val="both"/>
        <w:rPr>
          <w:sz w:val="24"/>
          <w:lang w:val="fr-CA"/>
        </w:rPr>
      </w:pPr>
      <w:r>
        <w:rPr>
          <w:sz w:val="24"/>
          <w:lang w:val="fr-CA"/>
        </w:rPr>
        <w:t>Comme on a pu le constater lors des pénuries énergétiques qui ont frappé l’ouest des États-Unis récemment, il est très difficile de prédire l’avenir dans les secteurs de l’énergie et de l’électricité. Nous pouvons certes avoir une idée générale de l’offre et de la demande d’électricité, mais notre capacité de prévoir la croissance ou la contraction à l’échelle régionale ou locale est, au mieux, limitée. De même, nos prévisions en ce qui a trait aux percées technologiques et à l’utilisation à grande échelle des nouvelles technologies se sont aussi avérées imprécises.</w:t>
      </w:r>
    </w:p>
    <w:p>
      <w:pPr>
        <w:pStyle w:val="Normal"/>
        <w:jc w:val="both"/>
        <w:rPr>
          <w:sz w:val="24"/>
          <w:lang w:val="fr-CA"/>
        </w:rPr>
      </w:pPr>
      <w:r>
        <w:rPr>
          <w:sz w:val="24"/>
          <w:lang w:val="fr-CA"/>
        </w:rPr>
      </w:r>
    </w:p>
    <w:p>
      <w:pPr>
        <w:pStyle w:val="Normal"/>
        <w:jc w:val="both"/>
        <w:rPr>
          <w:sz w:val="24"/>
          <w:lang w:val="fr-CA"/>
        </w:rPr>
      </w:pPr>
      <w:r>
        <w:rPr>
          <w:sz w:val="24"/>
          <w:lang w:val="fr-CA"/>
        </w:rPr>
        <w:t>En même temps que nous devons reconnaître les failles de nos outils de prévision, nous devons continuer d’élaborer des plans à long terme en nous fiant aux données les plus exactes dont nous disposons présentement. Par conséquent, nous devons nous assurer que les politiques environnementales que nous adoptons pourront être appliquées efficacement dans un climat d’incertitude et dans un contexte où les forces du marché dominent, comme ce sera probablement le cas en Amérique du Nord avec le nouveau marché de l’électricité.</w:t>
      </w:r>
    </w:p>
    <w:p>
      <w:pPr>
        <w:pStyle w:val="Normal"/>
        <w:jc w:val="both"/>
        <w:rPr>
          <w:sz w:val="24"/>
          <w:lang w:val="fr-CA"/>
        </w:rPr>
      </w:pPr>
      <w:r>
        <w:rPr>
          <w:sz w:val="24"/>
          <w:lang w:val="fr-CA"/>
        </w:rPr>
      </w:r>
    </w:p>
    <w:p>
      <w:pPr>
        <w:pStyle w:val="Normal"/>
        <w:jc w:val="both"/>
        <w:rPr>
          <w:sz w:val="24"/>
          <w:lang w:val="fr-CA"/>
        </w:rPr>
      </w:pPr>
      <w:r>
        <w:rPr>
          <w:sz w:val="24"/>
          <w:lang w:val="fr-CA"/>
        </w:rPr>
        <w:t>Le marché nord-américain de l’électricité évolue dans un contexte de libéralisation accrue des échanges et de création de partenariats régionaux. Cela étant, il importera d’adopter des politiques qui favoriseront le développement durable et la création d’avantages à la fois économiques et environnementaux.</w:t>
      </w:r>
    </w:p>
    <w:p>
      <w:pPr>
        <w:pStyle w:val="Normal"/>
        <w:jc w:val="both"/>
        <w:rPr>
          <w:sz w:val="24"/>
          <w:lang w:val="fr-CA"/>
        </w:rPr>
      </w:pPr>
      <w:r>
        <w:rPr>
          <w:sz w:val="24"/>
          <w:lang w:val="fr-CA"/>
        </w:rPr>
      </w:r>
    </w:p>
    <w:p>
      <w:pPr>
        <w:pStyle w:val="Normal"/>
        <w:jc w:val="both"/>
        <w:rPr>
          <w:sz w:val="24"/>
          <w:lang w:val="fr-CA"/>
        </w:rPr>
      </w:pPr>
      <w:r>
        <w:rPr>
          <w:sz w:val="24"/>
          <w:lang w:val="fr-CA"/>
        </w:rPr>
        <w:t>La concrétisation des avantages environnementaux associés à une plus grande efficacité énergétique, à la diffusion des technologies et à l’amélioration de la performance environnementale au palier régional passe par l’adoption de politiques environnementales dès les premières étapes de la démarche. Cela nécessitera une très grande coopération à l’échelle continentale; les enjeux sont élevés, mais nous sommes convaincus que les trois pays peuvent travailler efficacement ensemble. C’est dans cet esprit positif que les membres du Conseil consultatif soumettent respectueusement les recommandations qui suivent aux gouvernements du Canada, du Mexique et des États-Unis.</w:t>
      </w:r>
    </w:p>
    <w:p>
      <w:pPr>
        <w:pStyle w:val="Normal"/>
        <w:jc w:val="both"/>
        <w:rPr>
          <w:sz w:val="24"/>
          <w:lang w:val="fr-CA"/>
        </w:rPr>
      </w:pPr>
      <w:r>
        <w:rPr>
          <w:sz w:val="24"/>
          <w:lang w:val="fr-CA"/>
        </w:rPr>
      </w:r>
    </w:p>
    <w:p>
      <w:pPr>
        <w:pStyle w:val="Normal"/>
        <w:jc w:val="both"/>
        <w:rPr>
          <w:sz w:val="24"/>
          <w:lang w:val="fr-CA"/>
        </w:rPr>
      </w:pPr>
      <w:r>
        <w:rPr>
          <w:sz w:val="24"/>
          <w:lang w:val="fr-CA"/>
        </w:rPr>
      </w:r>
    </w:p>
    <w:p>
      <w:pPr>
        <w:pStyle w:val="Normal"/>
        <w:jc w:val="both"/>
        <w:rPr>
          <w:b/>
          <w:sz w:val="24"/>
          <w:lang w:val="fr-CA"/>
        </w:rPr>
      </w:pPr>
      <w:r>
        <w:rPr>
          <w:b/>
          <w:sz w:val="24"/>
          <w:lang w:val="fr-CA"/>
        </w:rPr>
        <w:t>1.0</w:t>
        <w:tab/>
        <w:t>Maintien de niveaux élevés de protection de la santé humaine et de l’environnement</w:t>
      </w:r>
    </w:p>
    <w:p>
      <w:pPr>
        <w:pStyle w:val="Normal"/>
        <w:jc w:val="both"/>
        <w:rPr>
          <w:b/>
          <w:sz w:val="24"/>
          <w:u w:val="single"/>
          <w:lang w:val="fr-CA"/>
        </w:rPr>
      </w:pPr>
      <w:r>
        <w:rPr>
          <w:b/>
          <w:sz w:val="24"/>
          <w:u w:val="single"/>
          <w:lang w:val="fr-CA"/>
        </w:rPr>
      </w:r>
    </w:p>
    <w:p>
      <w:pPr>
        <w:pStyle w:val="Normal"/>
        <w:jc w:val="both"/>
        <w:rPr>
          <w:sz w:val="24"/>
          <w:lang w:val="fr-CA"/>
        </w:rPr>
      </w:pPr>
      <w:r>
        <w:rPr>
          <w:sz w:val="24"/>
          <w:lang w:val="fr-CA"/>
        </w:rPr>
        <w:t>Compte tenu de l’incertitude qui entoure les prochains modèles de production, de distribution et de consommation d’électricité, et pour garantir que des normes élevées en matière de protection de la santé et de l’environnement sont appliquées partout en Amérique du Nord, les gouvernements doivent maintenir les normes nationales actuelles sur la qualité de l’air ou les autres mesures existantes visant la santé des humains et des écosystèmes. L’établissement de normes minimales à respecter et la coopération à l’échelle régionale contribueront à éliminer les préoccupations relatives aux « havres de pollution », réduiront au minimum les réclamations découlant du rejet de déchets dans l’environnement et atténueront les effets nocifs pour la santé et l’environnement dans les régions où sont concentrées un grand nombre de centrales.</w:t>
      </w:r>
    </w:p>
    <w:p>
      <w:pPr>
        <w:pStyle w:val="Normal"/>
        <w:jc w:val="both"/>
        <w:rPr>
          <w:sz w:val="24"/>
          <w:lang w:val="fr-CA"/>
        </w:rPr>
      </w:pPr>
      <w:r>
        <w:rPr>
          <w:sz w:val="24"/>
          <w:lang w:val="fr-CA"/>
        </w:rPr>
      </w:r>
    </w:p>
    <w:p>
      <w:pPr>
        <w:pStyle w:val="Normal"/>
        <w:numPr>
          <w:ilvl w:val="0"/>
          <w:numId w:val="6"/>
        </w:numPr>
        <w:tabs>
          <w:tab w:val="clear" w:pos="720"/>
          <w:tab w:val="left" w:pos="360" w:leader="none"/>
        </w:tabs>
        <w:rPr>
          <w:sz w:val="24"/>
          <w:lang w:val="fr-CA"/>
        </w:rPr>
      </w:pPr>
      <w:r>
        <w:rPr>
          <w:sz w:val="24"/>
          <w:lang w:val="fr-CA"/>
        </w:rPr>
        <w:t xml:space="preserve">Compte tenu des incertitudes qui devraient caractériser le marché de l’électricité, les mesures prévues par les politiques environnementales doivent être souples, tenir compte des différences qui existent entre les pays et à l’intérieur des régions, et prévoir un filet de sécurité pour garantir leur efficacité. </w:t>
      </w:r>
    </w:p>
    <w:p>
      <w:pPr>
        <w:pStyle w:val="Normal"/>
        <w:tabs>
          <w:tab w:val="clear" w:pos="720"/>
          <w:tab w:val="right" w:pos="8411" w:leader="none"/>
        </w:tabs>
        <w:jc w:val="both"/>
        <w:rPr>
          <w:b/>
          <w:sz w:val="24"/>
          <w:u w:val="single"/>
          <w:lang w:val="fr-CA"/>
        </w:rPr>
      </w:pPr>
      <w:r>
        <w:rPr>
          <w:b/>
          <w:sz w:val="24"/>
          <w:u w:val="single"/>
          <w:lang w:val="fr-CA"/>
        </w:rPr>
      </w:r>
    </w:p>
    <w:p>
      <w:pPr>
        <w:pStyle w:val="Normal"/>
        <w:tabs>
          <w:tab w:val="clear" w:pos="720"/>
          <w:tab w:val="right" w:pos="8411" w:leader="none"/>
        </w:tabs>
        <w:jc w:val="both"/>
        <w:rPr>
          <w:b/>
          <w:sz w:val="24"/>
          <w:u w:val="single"/>
          <w:lang w:val="fr-CA"/>
        </w:rPr>
      </w:pPr>
      <w:r>
        <w:rPr>
          <w:b/>
          <w:sz w:val="24"/>
          <w:u w:val="single"/>
          <w:lang w:val="fr-CA"/>
        </w:rPr>
      </w:r>
    </w:p>
    <w:p>
      <w:pPr>
        <w:pStyle w:val="Normal"/>
        <w:tabs>
          <w:tab w:val="left" w:pos="720" w:leader="none"/>
          <w:tab w:val="right" w:pos="8411" w:leader="none"/>
        </w:tabs>
        <w:ind w:hanging="720" w:start="720" w:end="0"/>
        <w:rPr>
          <w:b/>
          <w:sz w:val="24"/>
          <w:lang w:val="fr-CA"/>
        </w:rPr>
      </w:pPr>
      <w:r>
        <w:rPr>
          <w:b/>
          <w:sz w:val="24"/>
          <w:lang w:val="fr-CA"/>
        </w:rPr>
        <w:t>2.0</w:t>
        <w:tab/>
        <w:tab/>
        <w:t>Compilation de données plus utiles sur les émissions polluantes, le choix des sites d’implantation et les évaluations</w:t>
      </w:r>
    </w:p>
    <w:p>
      <w:pPr>
        <w:pStyle w:val="Normal"/>
        <w:tabs>
          <w:tab w:val="clear" w:pos="720"/>
          <w:tab w:val="right" w:pos="8411" w:leader="none"/>
        </w:tabs>
        <w:jc w:val="both"/>
        <w:rPr>
          <w:b/>
          <w:sz w:val="24"/>
          <w:lang w:val="fr-CA"/>
        </w:rPr>
      </w:pPr>
      <w:r>
        <w:rPr>
          <w:b/>
          <w:sz w:val="24"/>
          <w:lang w:val="fr-CA"/>
        </w:rPr>
      </w:r>
    </w:p>
    <w:p>
      <w:pPr>
        <w:pStyle w:val="Normal"/>
        <w:tabs>
          <w:tab w:val="clear" w:pos="720"/>
          <w:tab w:val="right" w:pos="8411" w:leader="none"/>
        </w:tabs>
        <w:jc w:val="both"/>
        <w:rPr>
          <w:sz w:val="24"/>
          <w:lang w:val="fr-CA"/>
        </w:rPr>
      </w:pPr>
      <w:r>
        <w:rPr>
          <w:sz w:val="24"/>
          <w:lang w:val="fr-CA"/>
        </w:rPr>
        <w:t xml:space="preserve">Le Conseil consultatif convient que l’amélioration des activités de collecte des données serait profitable à la fois pour les gouvernements et pour le public. Il faudrait en outre s’assurer que les données sont comparables dans les trois pays et que les rapports sur les émissions provenant du secteur de l’électricité sont diffusés à l’échelle régionale. Il faut également améliorer l’accès à l’information en ce qui a trait au choix des sites d’implantation et à l’évaluation des projets dans le secteur de l’électricité. </w:t>
      </w:r>
    </w:p>
    <w:p>
      <w:pPr>
        <w:pStyle w:val="Normal"/>
        <w:tabs>
          <w:tab w:val="clear" w:pos="720"/>
          <w:tab w:val="right" w:pos="8411" w:leader="none"/>
        </w:tabs>
        <w:ind w:start="600" w:end="0"/>
        <w:jc w:val="both"/>
        <w:rPr>
          <w:sz w:val="24"/>
          <w:lang w:val="fr-CA"/>
        </w:rPr>
      </w:pPr>
      <w:r>
        <w:rPr>
          <w:sz w:val="24"/>
          <w:lang w:val="fr-CA"/>
        </w:rPr>
      </w:r>
    </w:p>
    <w:p>
      <w:pPr>
        <w:pStyle w:val="Normal"/>
        <w:numPr>
          <w:ilvl w:val="0"/>
          <w:numId w:val="3"/>
        </w:numPr>
        <w:rPr>
          <w:sz w:val="24"/>
          <w:lang w:val="fr-CA"/>
        </w:rPr>
      </w:pPr>
      <w:r>
        <w:rPr>
          <w:sz w:val="24"/>
          <w:lang w:val="fr-CA"/>
        </w:rPr>
        <w:t>Réunir des données transparentes et comparables pour le secteur nord-américain de la production d’électricité. Ces données doivent être suffisamment détaillées pour qu’on puisse faire des analyses des tendances, élaborer des politiques sur les échanges de droits d’émissions et informer le public.</w:t>
      </w:r>
    </w:p>
    <w:p>
      <w:pPr>
        <w:pStyle w:val="Normal"/>
        <w:numPr>
          <w:ilvl w:val="0"/>
          <w:numId w:val="2"/>
        </w:numPr>
        <w:rPr>
          <w:sz w:val="24"/>
          <w:lang w:val="fr-CA"/>
        </w:rPr>
      </w:pPr>
      <w:r>
        <w:rPr>
          <w:sz w:val="24"/>
          <w:lang w:val="fr-CA"/>
        </w:rPr>
        <w:t>Établir un cadre comportant les éléments voulus pour la mise en œuvre d’un programme nord-américain (bilatéral ou trilatéral) d’échange de droits d’émissions qui pourrait inclure le dioxyde de soufre et les oxydes d’azote.</w:t>
      </w:r>
    </w:p>
    <w:p>
      <w:pPr>
        <w:pStyle w:val="Normal"/>
        <w:numPr>
          <w:ilvl w:val="0"/>
          <w:numId w:val="2"/>
        </w:numPr>
        <w:rPr>
          <w:sz w:val="24"/>
          <w:lang w:val="fr-CA"/>
        </w:rPr>
      </w:pPr>
      <w:r>
        <w:rPr>
          <w:sz w:val="24"/>
          <w:lang w:val="fr-CA"/>
        </w:rPr>
        <w:t>Demander un examen de la cohérence des normes environnementales qui régissent la construction et l’exploitation des centrales électriques en Amérique du Nord, y compris celles qui se trouvent dans certaines régions frontalières.</w:t>
      </w:r>
    </w:p>
    <w:p>
      <w:pPr>
        <w:pStyle w:val="Normal"/>
        <w:jc w:val="both"/>
        <w:rPr>
          <w:b/>
          <w:sz w:val="24"/>
          <w:u w:val="single"/>
          <w:lang w:val="fr-CA"/>
        </w:rPr>
      </w:pPr>
      <w:r>
        <w:rPr>
          <w:b/>
          <w:sz w:val="24"/>
          <w:u w:val="single"/>
          <w:lang w:val="fr-CA"/>
        </w:rPr>
      </w:r>
    </w:p>
    <w:p>
      <w:pPr>
        <w:pStyle w:val="Normal"/>
        <w:keepNext w:val="true"/>
        <w:keepLines/>
        <w:jc w:val="both"/>
        <w:rPr>
          <w:b/>
          <w:sz w:val="24"/>
          <w:lang w:val="fr-CA"/>
        </w:rPr>
      </w:pPr>
      <w:r>
        <w:rPr>
          <w:b/>
          <w:sz w:val="24"/>
          <w:lang w:val="fr-CA"/>
        </w:rPr>
        <w:t>3.0</w:t>
        <w:tab/>
        <w:t>Évaluations régionales et effets environnementaux transfrontières</w:t>
      </w:r>
    </w:p>
    <w:p>
      <w:pPr>
        <w:pStyle w:val="Normal"/>
        <w:keepNext w:val="true"/>
        <w:keepLines/>
        <w:jc w:val="both"/>
        <w:rPr>
          <w:b/>
          <w:sz w:val="24"/>
          <w:lang w:val="fr-CA"/>
        </w:rPr>
      </w:pPr>
      <w:r>
        <w:rPr>
          <w:b/>
          <w:sz w:val="24"/>
          <w:lang w:val="fr-CA"/>
        </w:rPr>
      </w:r>
    </w:p>
    <w:p>
      <w:pPr>
        <w:pStyle w:val="Normal"/>
        <w:jc w:val="both"/>
        <w:rPr>
          <w:sz w:val="24"/>
          <w:lang w:val="fr-CA"/>
        </w:rPr>
      </w:pPr>
      <w:r>
        <w:rPr>
          <w:sz w:val="24"/>
          <w:lang w:val="fr-CA"/>
        </w:rPr>
        <w:t xml:space="preserve">Si l’on se fie à la majorité des prévisions faites à ce jour, il faudra augmenter considérablement la capacité de production pour répondre à la demande d’électricité au cours des 20 prochaines années. Par ailleurs, pour éviter des répercussions néfastes sur la santé et l’environnement à l’échelle régionale, il faudra coordonner plus efficacement les évaluations régionales et transfrontalières et tenir compte des effets cumulatifs des projets. </w:t>
      </w:r>
    </w:p>
    <w:p>
      <w:pPr>
        <w:pStyle w:val="Normal"/>
        <w:jc w:val="both"/>
        <w:rPr>
          <w:sz w:val="24"/>
          <w:lang w:val="fr-CA"/>
        </w:rPr>
      </w:pPr>
      <w:r>
        <w:rPr>
          <w:sz w:val="24"/>
          <w:lang w:val="fr-CA"/>
        </w:rPr>
      </w:r>
    </w:p>
    <w:p>
      <w:pPr>
        <w:pStyle w:val="Normal"/>
        <w:jc w:val="both"/>
        <w:rPr>
          <w:sz w:val="24"/>
          <w:lang w:val="fr-CA"/>
        </w:rPr>
      </w:pPr>
      <w:r>
        <w:rPr>
          <w:sz w:val="24"/>
          <w:lang w:val="fr-CA"/>
        </w:rPr>
        <w:t>Comme l’indique le rapport de la CCE intitulé « Les possibilités et les défis environnementaux liés au marché nord-américain de l’électricité en évolution », dans l’ensemble, le secteur de l’électricité a des répercussions importantes sur tous les milieux – l’air, l’eau et le sol. De manière générale, ces répercussions sont évaluées uniquement sur le territoire où l’activité se déroule, et ce, même si les effets néfastes sont observés à l’extérieur de ce territoire. De même, un ensemble d’activités peuvent avoir des effets cumulatifs à l’échelle régionale, comme c’est le cas du transport à grande distance de polluants atmosphériques (dont le mercure et les substances qui contribuent à la formation de pluies acides), et de la destruction ou de la fragmentation des habitats des espèces migratrices.</w:t>
      </w:r>
    </w:p>
    <w:p>
      <w:pPr>
        <w:pStyle w:val="Normal"/>
        <w:jc w:val="both"/>
        <w:rPr>
          <w:sz w:val="24"/>
          <w:lang w:val="fr-CA"/>
        </w:rPr>
      </w:pPr>
      <w:r>
        <w:rPr>
          <w:sz w:val="24"/>
          <w:lang w:val="fr-CA"/>
        </w:rPr>
      </w:r>
    </w:p>
    <w:p>
      <w:pPr>
        <w:pStyle w:val="Normal"/>
        <w:jc w:val="both"/>
        <w:rPr>
          <w:sz w:val="24"/>
          <w:lang w:val="fr-CA"/>
        </w:rPr>
      </w:pPr>
      <w:r>
        <w:rPr>
          <w:sz w:val="24"/>
          <w:lang w:val="fr-CA"/>
        </w:rPr>
        <w:t>Le Conseil consultatif se joint au Comité consultatif public mixte pour demander la mise en œuvre du paragraphe 10(7) de l’Accord nord-américain de coopération dans le domaine de l’environnement, qui enjoint le Conseil de la CCE de faire des recommandations sur l’exécution d’évaluations de l’impact environnemental transfrontière de projets qui risquent d’avoir des effets nocifs sur le territoire d’une autre Partie.</w:t>
      </w:r>
    </w:p>
    <w:p>
      <w:pPr>
        <w:pStyle w:val="Normal"/>
        <w:tabs>
          <w:tab w:val="clear" w:pos="720"/>
          <w:tab w:val="left" w:pos="2010" w:leader="none"/>
          <w:tab w:val="left" w:pos="3975" w:leader="none"/>
          <w:tab w:val="left" w:pos="7800" w:leader="none"/>
          <w:tab w:val="right" w:pos="8691" w:leader="none"/>
        </w:tabs>
        <w:jc w:val="both"/>
        <w:rPr>
          <w:sz w:val="24"/>
          <w:lang w:val="fr-CA"/>
        </w:rPr>
      </w:pPr>
      <w:r>
        <w:rPr>
          <w:sz w:val="24"/>
          <w:lang w:val="fr-CA"/>
        </w:rPr>
      </w:r>
    </w:p>
    <w:p>
      <w:pPr>
        <w:pStyle w:val="BodyText"/>
        <w:tabs>
          <w:tab w:val="left" w:pos="720" w:leader="none"/>
          <w:tab w:val="right" w:pos="6321" w:leader="none"/>
        </w:tabs>
        <w:ind w:hanging="720" w:start="720" w:end="0"/>
        <w:rPr>
          <w:lang w:val="fr-CA"/>
        </w:rPr>
      </w:pPr>
      <w:r>
        <w:rPr>
          <w:lang w:val="fr-CA"/>
        </w:rPr>
        <w:t>4.0</w:t>
        <w:tab/>
        <w:tab/>
        <w:t>Émissions de gaz à effet de serre en Amérique du Nord et potentiel de promotion de la conservation des forêts, de l’efficacité énergétique et des sources d’énergie renouvelables dans le cadre d’un programme d’échange de droits d’émissions de carbone</w:t>
      </w:r>
    </w:p>
    <w:p>
      <w:pPr>
        <w:pStyle w:val="Normal"/>
        <w:tabs>
          <w:tab w:val="clear" w:pos="720"/>
          <w:tab w:val="right" w:pos="6321" w:leader="none"/>
        </w:tabs>
        <w:jc w:val="both"/>
        <w:rPr>
          <w:sz w:val="24"/>
          <w:lang w:val="fr-CA"/>
        </w:rPr>
      </w:pPr>
      <w:r>
        <w:rPr>
          <w:sz w:val="24"/>
          <w:lang w:val="fr-CA"/>
        </w:rPr>
      </w:r>
    </w:p>
    <w:p>
      <w:pPr>
        <w:pStyle w:val="Normal"/>
        <w:tabs>
          <w:tab w:val="clear" w:pos="720"/>
          <w:tab w:val="right" w:pos="6321" w:leader="none"/>
        </w:tabs>
        <w:jc w:val="both"/>
        <w:rPr>
          <w:sz w:val="24"/>
          <w:lang w:val="fr-CA"/>
        </w:rPr>
      </w:pPr>
      <w:r>
        <w:rPr>
          <w:sz w:val="24"/>
          <w:lang w:val="fr-CA"/>
        </w:rPr>
        <w:t>Le Conseil consultatif reconnaît que la nature complexe du changement climatique pose un défi de taille. D’après les estimations, environ 35 % des émissions de dioxyde de carbone en Amérique du Nord sont attribuables au secteur de l’électricité. À défaut d’adopter des stratégies nationales efficaces de réduction de ces émissions, l’augmentation de la capacité de production risque de donner lieu à une augmentation considérable des émissions de carbone.</w:t>
      </w:r>
    </w:p>
    <w:p>
      <w:pPr>
        <w:pStyle w:val="Normal"/>
        <w:tabs>
          <w:tab w:val="clear" w:pos="720"/>
          <w:tab w:val="right" w:pos="6321" w:leader="none"/>
        </w:tabs>
        <w:jc w:val="both"/>
        <w:rPr>
          <w:sz w:val="24"/>
          <w:lang w:val="fr-CA"/>
        </w:rPr>
      </w:pPr>
      <w:r>
        <w:rPr>
          <w:sz w:val="24"/>
          <w:lang w:val="fr-CA"/>
        </w:rPr>
      </w:r>
    </w:p>
    <w:p>
      <w:pPr>
        <w:pStyle w:val="Normal"/>
        <w:tabs>
          <w:tab w:val="clear" w:pos="720"/>
          <w:tab w:val="right" w:pos="6321" w:leader="none"/>
        </w:tabs>
        <w:jc w:val="both"/>
        <w:rPr>
          <w:sz w:val="24"/>
          <w:lang w:val="fr-CA"/>
        </w:rPr>
      </w:pPr>
      <w:r>
        <w:rPr>
          <w:sz w:val="24"/>
          <w:lang w:val="fr-CA"/>
        </w:rPr>
        <w:t>Le Conseil de la CCE a insisté sur la nécessité pour les Parties d’examiner ensemble l’application de mécanismes commerciaux visant à réduire les émissions de carbone; ces mécanismes comprennent la séquestration du carbone, l’utilisation de sources d’énergie renouvelables et des programmes d’efficacité énergétique. Le Conseil consultatif est d’avis que de telles stratégies peuvent générer des ressources importantes qui permettront d’adopter des sources d’énergie plus « propres ». Le Conseil consultatif exhorte donc les Parties à établir et à adopter sans délai des stratégies régionales de réduction des émissions de carbone. Les mesures précises suivantes devraient être envisagées :</w:t>
      </w:r>
    </w:p>
    <w:p>
      <w:pPr>
        <w:pStyle w:val="Normal"/>
        <w:jc w:val="both"/>
        <w:rPr>
          <w:sz w:val="24"/>
          <w:lang w:val="fr-CA"/>
        </w:rPr>
      </w:pPr>
      <w:r>
        <w:rPr>
          <w:sz w:val="24"/>
          <w:lang w:val="fr-CA"/>
        </w:rPr>
      </w:r>
    </w:p>
    <w:p>
      <w:pPr>
        <w:pStyle w:val="Normal"/>
        <w:numPr>
          <w:ilvl w:val="0"/>
          <w:numId w:val="5"/>
        </w:numPr>
        <w:tabs>
          <w:tab w:val="clear" w:pos="720"/>
          <w:tab w:val="right" w:pos="6321" w:leader="none"/>
        </w:tabs>
        <w:rPr>
          <w:sz w:val="24"/>
          <w:lang w:val="fr-CA"/>
        </w:rPr>
      </w:pPr>
      <w:r>
        <w:rPr>
          <w:sz w:val="24"/>
          <w:lang w:val="fr-CA"/>
        </w:rPr>
        <w:t>Mettre au point des inventaires nord-américains des émissions de gaz à effet de serre pour assurer l’intégrité des projets conjoints et des politiques relatives à l’échange de droits d’émission de gaz à effet de serre.</w:t>
      </w:r>
    </w:p>
    <w:p>
      <w:pPr>
        <w:pStyle w:val="Normal"/>
        <w:numPr>
          <w:ilvl w:val="0"/>
          <w:numId w:val="1"/>
        </w:numPr>
        <w:tabs>
          <w:tab w:val="clear" w:pos="720"/>
          <w:tab w:val="right" w:pos="6321" w:leader="none"/>
        </w:tabs>
        <w:rPr>
          <w:sz w:val="24"/>
          <w:lang w:val="fr-CA"/>
        </w:rPr>
      </w:pPr>
      <w:r>
        <w:rPr>
          <w:sz w:val="24"/>
          <w:lang w:val="fr-CA"/>
        </w:rPr>
        <w:t>Établir un cadre régissant le programme d’échange de droits d’émissions de gaz à effet de serre en Amérique du Nord.</w:t>
      </w:r>
    </w:p>
    <w:p>
      <w:pPr>
        <w:pStyle w:val="Normal"/>
        <w:numPr>
          <w:ilvl w:val="0"/>
          <w:numId w:val="5"/>
        </w:numPr>
        <w:tabs>
          <w:tab w:val="clear" w:pos="720"/>
          <w:tab w:val="right" w:pos="6321" w:leader="none"/>
        </w:tabs>
        <w:spacing w:before="0" w:after="240"/>
        <w:rPr>
          <w:sz w:val="24"/>
          <w:lang w:val="fr-CA"/>
        </w:rPr>
      </w:pPr>
      <w:r>
        <w:rPr>
          <w:sz w:val="24"/>
          <w:lang w:val="fr-CA"/>
        </w:rPr>
        <w:t xml:space="preserve">Démontrer, dans le cadre de projets pilotes nord-américains, l’utilité des programmes d’échange de droits d’émissions de carbone pour générer des ressources qui permettront au Mexique d’accélérer les investissements, la rotation des capitaux et l’adoption de technologies de pointe. </w:t>
      </w:r>
    </w:p>
    <w:p>
      <w:pPr>
        <w:pStyle w:val="Normal"/>
        <w:tabs>
          <w:tab w:val="left" w:pos="720" w:leader="none"/>
          <w:tab w:val="right" w:pos="8411" w:leader="none"/>
        </w:tabs>
        <w:jc w:val="both"/>
        <w:rPr>
          <w:b/>
          <w:sz w:val="24"/>
          <w:lang w:val="fr-CA"/>
        </w:rPr>
      </w:pPr>
      <w:r>
        <w:rPr>
          <w:b/>
          <w:sz w:val="24"/>
          <w:lang w:val="fr-CA"/>
        </w:rPr>
        <w:t>5.0</w:t>
        <w:tab/>
        <w:tab/>
        <w:t>Promotion du développement et de l’utilisation de sources d’énergie renouvelables</w:t>
      </w:r>
    </w:p>
    <w:p>
      <w:pPr>
        <w:pStyle w:val="Normal"/>
        <w:tabs>
          <w:tab w:val="clear" w:pos="720"/>
          <w:tab w:val="right" w:pos="8411" w:leader="none"/>
        </w:tabs>
        <w:jc w:val="both"/>
        <w:rPr>
          <w:b/>
          <w:sz w:val="24"/>
          <w:u w:val="single"/>
          <w:lang w:val="fr-CA"/>
        </w:rPr>
      </w:pPr>
      <w:r>
        <w:rPr>
          <w:b/>
          <w:sz w:val="24"/>
          <w:u w:val="single"/>
          <w:lang w:val="fr-CA"/>
        </w:rPr>
      </w:r>
    </w:p>
    <w:p>
      <w:pPr>
        <w:pStyle w:val="Normal"/>
        <w:tabs>
          <w:tab w:val="clear" w:pos="720"/>
          <w:tab w:val="right" w:pos="7706" w:leader="none"/>
        </w:tabs>
        <w:jc w:val="both"/>
        <w:rPr>
          <w:sz w:val="24"/>
          <w:lang w:val="fr-CA"/>
        </w:rPr>
      </w:pPr>
      <w:r>
        <w:rPr>
          <w:sz w:val="24"/>
          <w:lang w:val="fr-CA"/>
        </w:rPr>
        <w:t>Les sources d’électricité renouvelables constituent un élément essentiel d’un portefeuille énergétique diversifié, car elles contribuent à atténuer les effets des sources conventionnelles. Le Conseil consultatif convient qu’une internalisation plus efficace du coût environnemental de l’électricité (y compris, p. ex., les coûts pour le système de santé et la perte de productivité) favorisera l’établissement de règles équitables en ce qui a trait aux sources d’électricité renouvelables.</w:t>
      </w:r>
    </w:p>
    <w:p>
      <w:pPr>
        <w:pStyle w:val="Normal"/>
        <w:tabs>
          <w:tab w:val="clear" w:pos="720"/>
          <w:tab w:val="right" w:pos="7706" w:leader="none"/>
        </w:tabs>
        <w:jc w:val="both"/>
        <w:rPr>
          <w:sz w:val="24"/>
          <w:lang w:val="fr-CA"/>
        </w:rPr>
      </w:pPr>
      <w:r>
        <w:rPr>
          <w:sz w:val="24"/>
          <w:lang w:val="fr-CA"/>
        </w:rPr>
      </w:r>
    </w:p>
    <w:p>
      <w:pPr>
        <w:pStyle w:val="Normal"/>
        <w:jc w:val="both"/>
        <w:rPr>
          <w:sz w:val="24"/>
          <w:lang w:val="fr-CA"/>
        </w:rPr>
      </w:pPr>
      <w:r>
        <w:rPr>
          <w:sz w:val="24"/>
          <w:lang w:val="fr-CA"/>
        </w:rPr>
        <w:t>Récemment, certains États et entrepreneurs ont adopté des mécanismes qui permettent aux consommateurs d’opter pour des sources d’énergie considérées comme « écologiques » ou « renouvelables » par les administrations locales ou des organismes de certification. Il est encore trop tôt pour évaluer les répercussions de tels mécanismes, mais le Conseil consultatif estime qu’ils pourraient être très efficaces et appuie leur mise en œuvre.</w:t>
      </w:r>
    </w:p>
    <w:p>
      <w:pPr>
        <w:pStyle w:val="Normal"/>
        <w:jc w:val="both"/>
        <w:rPr>
          <w:sz w:val="24"/>
          <w:lang w:val="fr-CA"/>
        </w:rPr>
      </w:pPr>
      <w:r>
        <w:rPr>
          <w:sz w:val="24"/>
          <w:lang w:val="fr-CA"/>
        </w:rPr>
      </w:r>
    </w:p>
    <w:p>
      <w:pPr>
        <w:pStyle w:val="Normal"/>
        <w:numPr>
          <w:ilvl w:val="0"/>
          <w:numId w:val="6"/>
        </w:numPr>
        <w:tabs>
          <w:tab w:val="clear" w:pos="720"/>
          <w:tab w:val="left" w:pos="360" w:leader="none"/>
        </w:tabs>
        <w:rPr>
          <w:sz w:val="24"/>
          <w:lang w:val="fr-CA"/>
        </w:rPr>
      </w:pPr>
      <w:r>
        <w:rPr>
          <w:sz w:val="24"/>
          <w:lang w:val="fr-CA"/>
        </w:rPr>
        <w:t>On devrait s’attacher à soutenir les sources d’énergie renouvelables, y compris les incitatifs commerciaux et fiscaux, de même que le financement des activités de recherche et développement.</w:t>
      </w:r>
    </w:p>
    <w:p>
      <w:pPr>
        <w:pStyle w:val="Normal"/>
        <w:numPr>
          <w:ilvl w:val="0"/>
          <w:numId w:val="4"/>
        </w:numPr>
        <w:rPr>
          <w:sz w:val="24"/>
          <w:lang w:val="fr-CA"/>
        </w:rPr>
      </w:pPr>
      <w:r>
        <w:rPr>
          <w:sz w:val="24"/>
          <w:lang w:val="fr-CA"/>
        </w:rPr>
        <w:t>Les membres de l’industrie, les gouvernements et les organisations non gouvernementales devraient examiner ensemble les possibilités d’adopter une approche régionale plus uniforme en ce qui concerne la définition de l’énergie renouvelable et pour mieux comprendre l’origine des définitions actuelles.</w:t>
      </w:r>
    </w:p>
    <w:p>
      <w:pPr>
        <w:pStyle w:val="Normal"/>
        <w:tabs>
          <w:tab w:val="clear" w:pos="720"/>
          <w:tab w:val="right" w:pos="3981" w:leader="none"/>
        </w:tabs>
        <w:jc w:val="both"/>
        <w:rPr>
          <w:b/>
          <w:sz w:val="24"/>
          <w:lang w:val="fr-CA"/>
        </w:rPr>
      </w:pPr>
      <w:r>
        <w:rPr>
          <w:b/>
          <w:sz w:val="24"/>
          <w:lang w:val="fr-CA"/>
        </w:rPr>
      </w:r>
    </w:p>
    <w:p>
      <w:pPr>
        <w:pStyle w:val="Normal"/>
        <w:rPr>
          <w:b/>
          <w:sz w:val="24"/>
          <w:lang w:val="fr-CA"/>
        </w:rPr>
      </w:pPr>
      <w:r>
        <w:rPr>
          <w:b/>
          <w:sz w:val="24"/>
          <w:lang w:val="fr-CA"/>
        </w:rPr>
        <w:t>6.0  Mesures de conservation de l’électricité et de promotion de sources écologiques auprès des consommateurs</w:t>
      </w:r>
    </w:p>
    <w:p>
      <w:pPr>
        <w:pStyle w:val="Normal"/>
        <w:jc w:val="both"/>
        <w:rPr>
          <w:b/>
          <w:sz w:val="24"/>
          <w:lang w:val="fr-CA"/>
        </w:rPr>
      </w:pPr>
      <w:r>
        <w:rPr>
          <w:b/>
          <w:sz w:val="24"/>
          <w:lang w:val="fr-CA"/>
        </w:rPr>
      </w:r>
    </w:p>
    <w:p>
      <w:pPr>
        <w:pStyle w:val="Normal"/>
        <w:jc w:val="both"/>
        <w:rPr>
          <w:sz w:val="24"/>
          <w:lang w:val="fr-CA"/>
        </w:rPr>
      </w:pPr>
      <w:r>
        <w:rPr>
          <w:sz w:val="24"/>
          <w:lang w:val="fr-CA"/>
        </w:rPr>
        <w:t>Si on les associe à des politiques de soutien, les mesures de conservation constituent des outils efficaces pour la gestion de l’offre d’électricité. Divers programmes, approches et initiatives qui existent depuis plusieurs années se sont avérés efficaces et rentables.</w:t>
      </w:r>
    </w:p>
    <w:p>
      <w:pPr>
        <w:pStyle w:val="Normal"/>
        <w:jc w:val="both"/>
        <w:rPr>
          <w:sz w:val="24"/>
          <w:lang w:val="fr-CA"/>
        </w:rPr>
      </w:pPr>
      <w:r>
        <w:rPr>
          <w:sz w:val="24"/>
          <w:lang w:val="fr-CA"/>
        </w:rPr>
      </w:r>
    </w:p>
    <w:p>
      <w:pPr>
        <w:pStyle w:val="Normal"/>
        <w:jc w:val="both"/>
        <w:rPr>
          <w:b/>
          <w:sz w:val="24"/>
          <w:lang w:val="fr-CA"/>
        </w:rPr>
      </w:pPr>
      <w:r>
        <w:rPr>
          <w:b/>
          <w:sz w:val="24"/>
          <w:lang w:val="fr-CA"/>
        </w:rPr>
        <w:t>7.0   Transfert de technologies et aide pour l’adoption de technologies de production plus écologiques</w:t>
      </w:r>
    </w:p>
    <w:p>
      <w:pPr>
        <w:pStyle w:val="Normal"/>
        <w:jc w:val="both"/>
        <w:rPr>
          <w:b/>
          <w:sz w:val="24"/>
          <w:lang w:val="fr-CA"/>
        </w:rPr>
      </w:pPr>
      <w:r>
        <w:rPr>
          <w:b/>
          <w:sz w:val="24"/>
          <w:lang w:val="fr-CA"/>
        </w:rPr>
      </w:r>
    </w:p>
    <w:p>
      <w:pPr>
        <w:pStyle w:val="Normal"/>
        <w:jc w:val="both"/>
        <w:rPr>
          <w:sz w:val="24"/>
          <w:lang w:val="fr-CA"/>
        </w:rPr>
      </w:pPr>
      <w:r>
        <w:rPr>
          <w:sz w:val="24"/>
          <w:lang w:val="fr-CA"/>
        </w:rPr>
        <w:t>Une plus grande intégration des marchés favorise les investissements dans l’infrastructure et les technologies plus écologiques, augmente le rendement de l’équipement plus âgé et accélère la diffusion des nouvelles technologies. Les gouvernements doivent poursuivre l’élaboration de cadres stratégiques qui permettent de catalyser ces effets positifs :</w:t>
      </w:r>
    </w:p>
    <w:p>
      <w:pPr>
        <w:pStyle w:val="Normal"/>
        <w:jc w:val="both"/>
        <w:rPr>
          <w:sz w:val="24"/>
          <w:lang w:val="fr-CA"/>
        </w:rPr>
      </w:pPr>
      <w:r>
        <w:rPr>
          <w:sz w:val="24"/>
          <w:lang w:val="fr-CA"/>
        </w:rPr>
      </w:r>
    </w:p>
    <w:p>
      <w:pPr>
        <w:pStyle w:val="Normal"/>
        <w:numPr>
          <w:ilvl w:val="0"/>
          <w:numId w:val="6"/>
        </w:numPr>
        <w:tabs>
          <w:tab w:val="clear" w:pos="720"/>
          <w:tab w:val="left" w:pos="360" w:leader="none"/>
        </w:tabs>
        <w:rPr>
          <w:sz w:val="24"/>
          <w:lang w:val="fr-CA"/>
        </w:rPr>
      </w:pPr>
      <w:r>
        <w:rPr>
          <w:sz w:val="24"/>
          <w:lang w:val="fr-CA"/>
        </w:rPr>
        <w:t>en éliminant les tarifs et autres obstacles à la vente et à l’exportation de produits renouvelables (p. ex., les piles à combustible, les panneaux solaires et les turbines) et de technologies antipollution de pointe;</w:t>
      </w:r>
    </w:p>
    <w:p>
      <w:pPr>
        <w:pStyle w:val="Normal"/>
        <w:numPr>
          <w:ilvl w:val="0"/>
          <w:numId w:val="6"/>
        </w:numPr>
        <w:tabs>
          <w:tab w:val="clear" w:pos="720"/>
          <w:tab w:val="left" w:pos="360" w:leader="none"/>
        </w:tabs>
        <w:rPr>
          <w:sz w:val="24"/>
          <w:lang w:val="fr-CA"/>
        </w:rPr>
      </w:pPr>
      <w:r>
        <w:rPr>
          <w:sz w:val="24"/>
          <w:lang w:val="fr-CA"/>
        </w:rPr>
        <w:t>en améliorant les incitatifs à la recherche et au développement de technologies plus écologiques en Amérique du Nord;</w:t>
      </w:r>
    </w:p>
    <w:p>
      <w:pPr>
        <w:pStyle w:val="Normal"/>
        <w:numPr>
          <w:ilvl w:val="0"/>
          <w:numId w:val="6"/>
        </w:numPr>
        <w:tabs>
          <w:tab w:val="clear" w:pos="720"/>
          <w:tab w:val="left" w:pos="360" w:leader="none"/>
        </w:tabs>
        <w:rPr>
          <w:lang w:val="fr-CA"/>
        </w:rPr>
      </w:pPr>
      <w:r>
        <w:rPr>
          <w:sz w:val="24"/>
          <w:lang w:val="fr-CA"/>
        </w:rPr>
        <w:t>en créant un fonds nord-américain visant à promouvoir l’adoption des technologies les plus efficaces et des pratiques exemplaires dans le domaine de l’efficacité et de la conservation énergétiques.</w:t>
      </w:r>
    </w:p>
    <w:p>
      <w:pPr>
        <w:pStyle w:val="Normal"/>
        <w:tabs>
          <w:tab w:val="clear" w:pos="720"/>
          <w:tab w:val="left" w:pos="360" w:leader="none"/>
        </w:tabs>
        <w:jc w:val="both"/>
        <w:rPr>
          <w:sz w:val="24"/>
          <w:lang w:val="fr-CA"/>
        </w:rPr>
      </w:pPr>
      <w:r>
        <w:rPr>
          <w:sz w:val="24"/>
          <w:lang w:val="fr-CA"/>
        </w:rPr>
      </w:r>
    </w:p>
    <w:p>
      <w:pPr>
        <w:pStyle w:val="Normal"/>
        <w:tabs>
          <w:tab w:val="clear" w:pos="720"/>
          <w:tab w:val="left" w:pos="360" w:leader="none"/>
        </w:tabs>
        <w:jc w:val="both"/>
        <w:rPr>
          <w:sz w:val="24"/>
          <w:lang w:val="fr-CA"/>
        </w:rPr>
      </w:pPr>
      <w:r>
        <w:rPr>
          <w:sz w:val="24"/>
          <w:lang w:val="fr-CA"/>
        </w:rPr>
      </w:r>
    </w:p>
    <w:sectPr>
      <w:footerReference w:type="default" r:id="rId2"/>
      <w:footerReference w:type="first" r:id="rId3"/>
      <w:type w:val="nextPage"/>
      <w:pgSz w:w="12240" w:h="15840"/>
      <w:pgMar w:left="720" w:right="720" w:gutter="0" w:header="0" w:top="1872" w:footer="72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1120" cy="146050"/>
              <wp:effectExtent l="0" t="0" r="0" b="0"/>
              <wp:wrapSquare wrapText="bothSides"/>
              <wp:docPr id="1" name="Frame1"/>
              <a:graphic xmlns:a="http://schemas.openxmlformats.org/drawingml/2006/main">
                <a:graphicData uri="http://schemas.microsoft.com/office/word/2010/wordprocessingShape">
                  <wps:wsp>
                    <wps:cNvSpPr txBox="1"/>
                    <wps:spPr>
                      <a:xfrm>
                        <a:off x="0" y="0"/>
                        <a:ext cx="71120" cy="14605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6pt;height:11.5pt;mso-wrap-distance-left:0pt;mso-wrap-distance-right:0pt;mso-wrap-distance-top:0pt;mso-wrap-distance-bottom:0pt;margin-top:0.05pt;mso-position-vertical-relative:text;margin-left:534.4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360"/>
        </w:tabs>
        <w:ind w:start="360" w:hanging="360"/>
      </w:pPr>
      <w:rPr>
        <w:rFonts w:ascii="Symbol" w:hAnsi="Symbol" w:cs="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val="bestFit" w:percent="2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u w:val="single"/>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right" w:pos="6321" w:leader="none"/>
      </w:tabs>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lang w:val="en-CA" w:eastAsia="en-CA"/>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2001-12-20T19:33:00Z</dcterms:created>
  <dc:creator>CNACE</dc:creator>
  <dc:description/>
  <dc:language>en-CA</dc:language>
  <cp:lastModifiedBy>Martine Veilleux</cp:lastModifiedBy>
  <cp:lastPrinted>2001-12-20T13:25:00Z</cp:lastPrinted>
  <dcterms:modified xsi:type="dcterms:W3CDTF">2001-12-21T17:07:00Z</dcterms:modified>
  <cp:revision>7</cp:revision>
  <dc:subject/>
  <dc:title>PROMOTING THE DEVELOPMENT AND USE OF RENEWABLE</dc:title>
</cp:coreProperties>
</file>