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411" w:leader="none"/>
        </w:tabs>
        <w:jc w:val="center"/>
        <w:rPr>
          <w:b/>
          <w:sz w:val="28"/>
          <w:u w:val="single"/>
          <w:lang w:eastAsia="en-US"/>
        </w:rPr>
      </w:pPr>
      <w:r>
        <w:rPr>
          <w:b/>
          <w:sz w:val="28"/>
          <w:u w:val="single"/>
          <w:lang w:eastAsia="en-US"/>
        </w:rPr>
        <w:t>DRAFT</w:t>
      </w:r>
    </w:p>
    <w:p>
      <w:pPr>
        <w:pStyle w:val="Normal"/>
        <w:tabs>
          <w:tab w:val="clear" w:pos="720"/>
          <w:tab w:val="right" w:pos="8411" w:leader="none"/>
        </w:tabs>
        <w:jc w:val="center"/>
        <w:rPr>
          <w:b/>
          <w:sz w:val="24"/>
          <w:u w:val="single"/>
          <w:lang w:eastAsia="en-US"/>
        </w:rPr>
      </w:pPr>
      <w:r>
        <w:rPr>
          <w:b/>
          <w:sz w:val="24"/>
          <w:u w:val="single"/>
          <w:lang w:eastAsia="en-US"/>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u w:val="single"/>
          <w:lang w:eastAsia="en-US"/>
        </w:rPr>
      </w:pPr>
      <w:r>
        <w:rPr>
          <w:rFonts w:cs="Arial" w:ascii="Arial" w:hAnsi="Arial"/>
          <w:b/>
          <w:sz w:val="28"/>
          <w:u w:val="single"/>
          <w:lang w:eastAsia="en-US"/>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eastAsia="en-US"/>
        </w:rPr>
      </w:pPr>
      <w:r>
        <w:rPr>
          <w:rFonts w:cs="Arial" w:ascii="Arial" w:hAnsi="Arial"/>
          <w:b/>
          <w:sz w:val="28"/>
          <w:lang w:eastAsia="en-US"/>
        </w:rPr>
        <w:t>STATEMENT AND RECOMMENDATIONS OF THE</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eastAsia="en-US"/>
        </w:rPr>
      </w:pPr>
      <w:r>
        <w:rPr>
          <w:rFonts w:cs="Arial" w:ascii="Arial" w:hAnsi="Arial"/>
          <w:b/>
          <w:sz w:val="28"/>
          <w:lang w:eastAsia="en-US"/>
        </w:rPr>
        <w:t>CEC ELECTRICITY AND ENVIRONMENT ADVISORY BOARD</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eastAsia="en-US"/>
        </w:rPr>
      </w:pPr>
      <w:r>
        <w:rPr>
          <w:rFonts w:cs="Arial" w:ascii="Arial" w:hAnsi="Arial"/>
          <w:b/>
          <w:sz w:val="28"/>
          <w:lang w:eastAsia="en-US"/>
        </w:rPr>
        <w:t>LA JOLLA, CALIFORNIA</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eastAsia="en-US"/>
        </w:rPr>
      </w:pPr>
      <w:r>
        <w:rPr>
          <w:rFonts w:cs="Arial" w:ascii="Arial" w:hAnsi="Arial"/>
          <w:b/>
          <w:sz w:val="28"/>
          <w:lang w:eastAsia="en-US"/>
        </w:rPr>
        <w:t>29 NOVEMBER 2001</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rPr>
          <w:rFonts w:ascii="Arial" w:hAnsi="Arial" w:cs="Arial"/>
          <w:b/>
          <w:sz w:val="28"/>
          <w:lang w:eastAsia="en-US"/>
        </w:rPr>
      </w:pPr>
      <w:r>
        <w:rPr>
          <w:rFonts w:cs="Arial" w:ascii="Arial" w:hAnsi="Arial"/>
          <w:b/>
          <w:sz w:val="28"/>
          <w:lang w:eastAsia="en-US"/>
        </w:rPr>
      </w:r>
    </w:p>
    <w:p>
      <w:pPr>
        <w:pStyle w:val="Normal"/>
        <w:rPr>
          <w:rFonts w:ascii="Arial" w:hAnsi="Arial" w:cs="Arial"/>
          <w:b/>
          <w:sz w:val="24"/>
          <w:lang w:eastAsia="en-US"/>
        </w:rPr>
      </w:pPr>
      <w:r>
        <w:rPr>
          <w:rFonts w:cs="Arial" w:ascii="Arial" w:hAnsi="Arial"/>
          <w:b/>
          <w:sz w:val="24"/>
          <w:lang w:eastAsia="en-US"/>
        </w:rPr>
      </w:r>
    </w:p>
    <w:p>
      <w:pPr>
        <w:pStyle w:val="Normal"/>
        <w:ind w:start="864" w:end="0"/>
        <w:jc w:val="both"/>
        <w:rPr>
          <w:sz w:val="24"/>
          <w:lang w:eastAsia="en-US"/>
        </w:rPr>
      </w:pPr>
      <w:r>
        <w:rPr>
          <w:sz w:val="24"/>
          <w:lang w:eastAsia="en-US"/>
        </w:rPr>
        <w:t>Once a visionary idea, the prospects for developing an integrated North American electricity market have never been better. Though not widely recognized, continental energy links have proliferated over the last two decades, spawning a complex array of cross-border transactions and relationships. Indeed, the sale of hydroelectric power from British Columbia to Baja California, the construction of the 2,300-mile Alliance Pipeline to transport natural gas from western Canada to Chicago, and the fact that the size of the snow pack in eastern Canada directly influences wholesale electricity prices in the US north central and New England states, provide eloquent testimony to our growing regional connectivity.</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While the process of deeper economic integration is underway, a parallel effort must be made to address the environmental challenges we face. In taking on this challenge, we must recognize our differences—both nationally and regionally within countries—to ensure that the path we follow is tailored to meet the practical concerns of our citizens, wherever they reside.</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Affordable and reliable electricity provides a foundation of economic stability upon which prosperity depends and a sustainable long-term energy policy remains central to our economic well being. At the same time, electricity—its type, production, distribution and usage—has a significant impact on human health and the ecological systems which sustain life.</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As recent events in the western United States have made clear, it is very difficult to predict how future events relating to energy and electricity will unfold. While we can place some fairly crude boundaries around overall electricity supply and demand, our ability to foresee growth or constriction on regional or local scales is limited, at best. Likewise, our ability to anticipate technological innovation and diffusion has also proven elusive.</w:t>
      </w:r>
    </w:p>
    <w:p>
      <w:pPr>
        <w:pStyle w:val="Normal"/>
        <w:ind w:start="864" w:end="0"/>
        <w:jc w:val="both"/>
        <w:rPr>
          <w:sz w:val="24"/>
          <w:lang w:eastAsia="en-US"/>
        </w:rPr>
      </w:pPr>
      <w:r>
        <w:rPr>
          <w:sz w:val="24"/>
          <w:lang w:eastAsia="en-US"/>
        </w:rPr>
      </w:r>
    </w:p>
    <w:p>
      <w:pPr>
        <w:pStyle w:val="Normal"/>
        <w:ind w:start="864" w:end="0"/>
        <w:jc w:val="both"/>
        <w:rPr/>
      </w:pPr>
      <w:r>
        <w:rPr>
          <w:sz w:val="24"/>
          <w:lang w:eastAsia="en-US"/>
        </w:rPr>
        <w:t>At the same time as we must acknowledge the inherent uncertainties of our predictive tools, long-range planning</w:t>
      </w:r>
      <w:r>
        <w:rPr>
          <w:lang w:eastAsia="en-US"/>
        </w:rPr>
        <w:t xml:space="preserve"> </w:t>
      </w:r>
      <w:r>
        <w:rPr>
          <w:sz w:val="24"/>
          <w:lang w:eastAsia="en-US"/>
        </w:rPr>
        <w:t>is still imperative, requiring us to make judgments and base decisions on the best available evidence. Accordingly, the environmental policy safeguards and measures implemented must, to a great degree, be capable of functioning well in a climate of uncertainty. Furthermore, these measures must also be designed to work well in a region governed largely by market forces, as is likely to be the case in the emerging North American market.</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As the North American electricity market takes shape in the context of freer trade and a closer regional partnership on energy, we face vital matters of public policy to ensure that the transformation of the electricity market promotes sustainable development—that it generates both economic and environmental benefits.</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To achieve the environmental benefits of greater efficiencies, technological diffusion and improved regional environmental performance, environmental policy considerations must be addressed at the earliest planning stages. This will require an unprecedented degree of North American cooperation, but much is at stake and we are optimistic that our three societies can meet this challenge. It is in that hopeful spirit that the undersigned Advisory Board members respectfully submit the following recommendations to the governments of Canada, Mexico and the United States</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r>
    </w:p>
    <w:p>
      <w:pPr>
        <w:pStyle w:val="Normal"/>
        <w:ind w:start="864" w:end="0"/>
        <w:jc w:val="both"/>
        <w:rPr>
          <w:b/>
          <w:sz w:val="24"/>
          <w:lang w:eastAsia="en-US"/>
        </w:rPr>
      </w:pPr>
      <w:r>
        <w:rPr>
          <w:b/>
          <w:sz w:val="24"/>
          <w:lang w:eastAsia="en-US"/>
        </w:rPr>
        <w:t>1.0 On maintaining high levels of protection for human health and the environment</w:t>
      </w:r>
    </w:p>
    <w:p>
      <w:pPr>
        <w:pStyle w:val="Normal"/>
        <w:ind w:start="864" w:end="0"/>
        <w:jc w:val="both"/>
        <w:rPr>
          <w:b/>
          <w:sz w:val="24"/>
          <w:u w:val="single"/>
          <w:lang w:eastAsia="en-US"/>
        </w:rPr>
      </w:pPr>
      <w:r>
        <w:rPr>
          <w:b/>
          <w:sz w:val="24"/>
          <w:u w:val="single"/>
          <w:lang w:eastAsia="en-US"/>
        </w:rPr>
      </w:r>
    </w:p>
    <w:p>
      <w:pPr>
        <w:pStyle w:val="Normal"/>
        <w:ind w:start="864" w:end="0"/>
        <w:jc w:val="both"/>
        <w:rPr>
          <w:sz w:val="24"/>
          <w:lang w:eastAsia="en-US"/>
        </w:rPr>
      </w:pPr>
      <w:r>
        <w:rPr>
          <w:sz w:val="24"/>
          <w:lang w:eastAsia="en-US"/>
        </w:rPr>
        <w:t>Owing to the uncertainties in future patterns of electricity generation, transmission and usage, and in order to ensure that high standards of environmental and health protection are maintained throughout North America, governments should maintain national ambient environmental standards or other measures based on human and ecosystem health. Minimum standards and regional cooperation will protect against "pollution haven" concerns, minimize claims of environmental dumping, and decrease the likelihood that regional clusters of generating facilities will adversely impact on the health and environment of localities.</w:t>
      </w:r>
    </w:p>
    <w:p>
      <w:pPr>
        <w:pStyle w:val="Normal"/>
        <w:ind w:start="864" w:end="0"/>
        <w:jc w:val="both"/>
        <w:rPr>
          <w:sz w:val="24"/>
          <w:lang w:eastAsia="en-US"/>
        </w:rPr>
      </w:pPr>
      <w:r>
        <w:rPr>
          <w:sz w:val="24"/>
          <w:lang w:eastAsia="en-US"/>
        </w:rPr>
      </w:r>
    </w:p>
    <w:p>
      <w:pPr>
        <w:pStyle w:val="Normal"/>
        <w:numPr>
          <w:ilvl w:val="0"/>
          <w:numId w:val="8"/>
        </w:numPr>
        <w:tabs>
          <w:tab w:val="clear" w:pos="720"/>
          <w:tab w:val="left" w:pos="360" w:leader="none"/>
        </w:tabs>
        <w:ind w:hanging="360" w:start="864" w:end="0"/>
        <w:jc w:val="both"/>
        <w:rPr>
          <w:sz w:val="24"/>
          <w:lang w:eastAsia="en-US"/>
        </w:rPr>
      </w:pPr>
      <w:r>
        <w:rPr>
          <w:sz w:val="24"/>
          <w:lang w:eastAsia="en-US"/>
        </w:rPr>
        <w:t xml:space="preserve">Given the expected uncertainties within the electricity market, the environmental policy measures must be flexible, recognize the differences between countries and within regions and include a safety net mechanism to remain effective. </w:t>
      </w:r>
    </w:p>
    <w:p>
      <w:pPr>
        <w:pStyle w:val="Normal"/>
        <w:tabs>
          <w:tab w:val="clear" w:pos="720"/>
          <w:tab w:val="right" w:pos="8411" w:leader="none"/>
        </w:tabs>
        <w:ind w:start="864" w:end="0"/>
        <w:jc w:val="both"/>
        <w:rPr>
          <w:b/>
          <w:sz w:val="24"/>
          <w:u w:val="single"/>
          <w:lang w:eastAsia="en-US"/>
        </w:rPr>
      </w:pPr>
      <w:r>
        <w:rPr>
          <w:b/>
          <w:sz w:val="24"/>
          <w:u w:val="single"/>
          <w:lang w:eastAsia="en-US"/>
        </w:rPr>
      </w:r>
    </w:p>
    <w:p>
      <w:pPr>
        <w:pStyle w:val="Normal"/>
        <w:tabs>
          <w:tab w:val="clear" w:pos="720"/>
          <w:tab w:val="right" w:pos="8411" w:leader="none"/>
        </w:tabs>
        <w:ind w:start="864" w:end="0"/>
        <w:jc w:val="both"/>
        <w:rPr>
          <w:b/>
          <w:sz w:val="24"/>
          <w:u w:val="single"/>
          <w:lang w:eastAsia="en-US"/>
        </w:rPr>
      </w:pPr>
      <w:r>
        <w:rPr>
          <w:b/>
          <w:sz w:val="24"/>
          <w:u w:val="single"/>
          <w:lang w:eastAsia="en-US"/>
        </w:rPr>
      </w:r>
    </w:p>
    <w:p>
      <w:pPr>
        <w:pStyle w:val="Normal"/>
        <w:numPr>
          <w:ilvl w:val="0"/>
          <w:numId w:val="1"/>
        </w:numPr>
        <w:tabs>
          <w:tab w:val="clear" w:pos="720"/>
          <w:tab w:val="right" w:pos="8411" w:leader="none"/>
        </w:tabs>
        <w:jc w:val="both"/>
        <w:rPr>
          <w:b/>
          <w:sz w:val="24"/>
          <w:lang w:eastAsia="en-US"/>
        </w:rPr>
      </w:pPr>
      <w:r>
        <w:rPr>
          <w:b/>
          <w:sz w:val="24"/>
          <w:lang w:eastAsia="en-US"/>
        </w:rPr>
        <w:t xml:space="preserve">  </w:t>
      </w:r>
      <w:r>
        <w:rPr>
          <w:b/>
          <w:sz w:val="24"/>
          <w:lang w:eastAsia="en-US"/>
        </w:rPr>
        <w:t>On developing improved information on pollution emissions, siting and   assessment</w:t>
      </w:r>
    </w:p>
    <w:p>
      <w:pPr>
        <w:pStyle w:val="Normal"/>
        <w:tabs>
          <w:tab w:val="clear" w:pos="720"/>
          <w:tab w:val="right" w:pos="8411" w:leader="none"/>
        </w:tabs>
        <w:ind w:start="864" w:end="0"/>
        <w:jc w:val="both"/>
        <w:rPr>
          <w:b/>
          <w:sz w:val="24"/>
          <w:lang w:eastAsia="en-US"/>
        </w:rPr>
      </w:pPr>
      <w:r>
        <w:rPr>
          <w:b/>
          <w:sz w:val="24"/>
          <w:lang w:eastAsia="en-US"/>
        </w:rPr>
      </w:r>
    </w:p>
    <w:p>
      <w:pPr>
        <w:pStyle w:val="Normal"/>
        <w:tabs>
          <w:tab w:val="clear" w:pos="720"/>
          <w:tab w:val="right" w:pos="8411" w:leader="none"/>
        </w:tabs>
        <w:ind w:start="864" w:end="0"/>
        <w:jc w:val="both"/>
        <w:rPr>
          <w:sz w:val="24"/>
          <w:lang w:eastAsia="en-US"/>
        </w:rPr>
      </w:pPr>
      <w:r>
        <w:rPr>
          <w:sz w:val="24"/>
          <w:lang w:eastAsia="en-US"/>
        </w:rPr>
        <w:t xml:space="preserve">The Advisory Board agrees that the governments and public would be well served by improving on current efforts to collect, make comparable and report regionally on emissions from the electricity sector, in addition to enhancing access to information for the siting and assessment of electricity-related projects. </w:t>
      </w:r>
    </w:p>
    <w:p>
      <w:pPr>
        <w:pStyle w:val="Normal"/>
        <w:tabs>
          <w:tab w:val="clear" w:pos="720"/>
          <w:tab w:val="right" w:pos="8411" w:leader="none"/>
        </w:tabs>
        <w:ind w:start="864" w:end="0"/>
        <w:jc w:val="both"/>
        <w:rPr>
          <w:sz w:val="24"/>
          <w:lang w:eastAsia="en-US"/>
        </w:rPr>
      </w:pPr>
      <w:r>
        <w:rPr>
          <w:sz w:val="24"/>
          <w:lang w:eastAsia="en-US"/>
        </w:rPr>
      </w:r>
    </w:p>
    <w:p>
      <w:pPr>
        <w:pStyle w:val="Normal"/>
        <w:numPr>
          <w:ilvl w:val="0"/>
          <w:numId w:val="4"/>
        </w:numPr>
        <w:ind w:hanging="360" w:start="864" w:end="0"/>
        <w:jc w:val="both"/>
        <w:rPr>
          <w:sz w:val="24"/>
          <w:lang w:eastAsia="en-US"/>
        </w:rPr>
      </w:pPr>
      <w:r>
        <w:rPr>
          <w:sz w:val="24"/>
          <w:lang w:eastAsia="en-US"/>
        </w:rPr>
        <w:t>Develop transparent and comparable pollution emission data for the North American electricity generation sector at sufficiently detailed level to support trends analyses, emissions trading policies, and public right-to-know.</w:t>
      </w:r>
    </w:p>
    <w:p>
      <w:pPr>
        <w:pStyle w:val="Normal"/>
        <w:numPr>
          <w:ilvl w:val="0"/>
          <w:numId w:val="2"/>
        </w:numPr>
        <w:ind w:hanging="360" w:start="864" w:end="0"/>
        <w:jc w:val="both"/>
        <w:rPr>
          <w:sz w:val="24"/>
          <w:lang w:eastAsia="en-US"/>
        </w:rPr>
      </w:pPr>
      <w:r>
        <w:rPr>
          <w:sz w:val="24"/>
          <w:lang w:eastAsia="en-US"/>
        </w:rPr>
        <w:t>Develop a model framework of necessary elements for a North American (bilateral or trilateral) emissions trading regime that can include emissions of sulfur dioxide and nitrogen oxides.</w:t>
      </w:r>
    </w:p>
    <w:p>
      <w:pPr>
        <w:pStyle w:val="Normal"/>
        <w:numPr>
          <w:ilvl w:val="0"/>
          <w:numId w:val="2"/>
        </w:numPr>
        <w:ind w:hanging="360" w:start="864" w:end="0"/>
        <w:jc w:val="both"/>
        <w:rPr>
          <w:sz w:val="24"/>
          <w:lang w:eastAsia="en-US"/>
        </w:rPr>
      </w:pPr>
      <w:r>
        <w:rPr>
          <w:sz w:val="24"/>
          <w:lang w:eastAsia="en-US"/>
        </w:rPr>
        <w:t>Commission a review of the consistency of North American environmental standards governing the construction and operation of electricity generating facilities, including but not limited to, those sited in particular border areas.</w:t>
      </w:r>
    </w:p>
    <w:p>
      <w:pPr>
        <w:pStyle w:val="Normal"/>
        <w:ind w:start="864" w:end="0"/>
        <w:jc w:val="both"/>
        <w:rPr>
          <w:b/>
          <w:sz w:val="24"/>
          <w:u w:val="single"/>
          <w:lang w:eastAsia="en-US"/>
        </w:rPr>
      </w:pPr>
      <w:r>
        <w:rPr>
          <w:b/>
          <w:sz w:val="24"/>
          <w:u w:val="single"/>
          <w:lang w:eastAsia="en-US"/>
        </w:rPr>
      </w:r>
    </w:p>
    <w:p>
      <w:pPr>
        <w:pStyle w:val="Normal"/>
        <w:ind w:start="864" w:end="0"/>
        <w:jc w:val="both"/>
        <w:rPr>
          <w:b/>
          <w:sz w:val="24"/>
          <w:lang w:eastAsia="en-US"/>
        </w:rPr>
      </w:pPr>
      <w:r>
        <w:rPr>
          <w:b/>
          <w:sz w:val="24"/>
          <w:lang w:eastAsia="en-US"/>
        </w:rPr>
        <w:t>3.0 On regional assessment and transboundary environmental impact</w:t>
      </w:r>
    </w:p>
    <w:p>
      <w:pPr>
        <w:pStyle w:val="Normal"/>
        <w:ind w:start="864" w:end="0"/>
        <w:jc w:val="both"/>
        <w:rPr>
          <w:b/>
          <w:sz w:val="24"/>
          <w:lang w:eastAsia="en-US"/>
        </w:rPr>
      </w:pPr>
      <w:r>
        <w:rPr>
          <w:b/>
          <w:sz w:val="24"/>
          <w:lang w:eastAsia="en-US"/>
        </w:rPr>
      </w:r>
    </w:p>
    <w:p>
      <w:pPr>
        <w:pStyle w:val="Normal"/>
        <w:ind w:start="864" w:end="0"/>
        <w:jc w:val="both"/>
        <w:rPr>
          <w:sz w:val="24"/>
          <w:lang w:eastAsia="en-US"/>
        </w:rPr>
      </w:pPr>
      <w:r>
        <w:rPr>
          <w:sz w:val="24"/>
          <w:lang w:eastAsia="en-US"/>
        </w:rPr>
        <w:t xml:space="preserve">Under most projections, meeting demand for electricity in the next twenty years will require the addition of a significant increase in generation capacity. Avoiding adverse regional impacts on environment and health will require stronger efforts to coordinate regional, cross-border assessment, as well as consideration of cumulative impact of projects. </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t>As the CEC expert report “Opportunities and Challenges of the Evolving North American Electricity Market” notes, taken as a whole, the electricity sector heavily affects environmental media—air, water and land. These impacts are typically assessed only within the jurisdiction(s) in which an activity takes place, even though adverse impacts may occur well outside of the area of assessment. In a similar fashion, the collective impact of various activities may have significant regional dimensions, including the long-range transport of atmospheric pollutants, (including mercury and emissions that contribute to acid rain) and habitat destruction or fragmentation affecting migratory species.</w:t>
      </w:r>
    </w:p>
    <w:p>
      <w:pPr>
        <w:pStyle w:val="Normal"/>
        <w:ind w:start="864" w:end="0"/>
        <w:jc w:val="both"/>
        <w:rPr>
          <w:sz w:val="24"/>
          <w:lang w:eastAsia="en-US"/>
        </w:rPr>
      </w:pPr>
      <w:r>
        <w:rPr>
          <w:sz w:val="24"/>
          <w:lang w:eastAsia="en-US"/>
        </w:rPr>
      </w:r>
    </w:p>
    <w:p>
      <w:pPr>
        <w:pStyle w:val="Normal"/>
        <w:ind w:start="864" w:end="0"/>
        <w:jc w:val="both"/>
        <w:rPr/>
      </w:pPr>
      <w:r>
        <w:rPr>
          <w:sz w:val="24"/>
          <w:lang w:eastAsia="en-US"/>
        </w:rPr>
        <w:t xml:space="preserve">The Advisory Board joins the Joint Public Advisory Committee in calling for the implementation of </w:t>
      </w:r>
      <w:r>
        <w:rPr>
          <w:sz w:val="24"/>
        </w:rPr>
        <w:t>Article 10(7) of the North American Agreement on Environmental Cooperation which enjoins the CEC Council to develop recommendations for the conduct of transboundary environmental impact assessments on projects which may adversely affect the territory of another Party.</w:t>
      </w:r>
    </w:p>
    <w:p>
      <w:pPr>
        <w:pStyle w:val="Normal"/>
        <w:tabs>
          <w:tab w:val="clear" w:pos="720"/>
          <w:tab w:val="left" w:pos="2010" w:leader="none"/>
          <w:tab w:val="left" w:pos="3975" w:leader="none"/>
          <w:tab w:val="left" w:pos="7800" w:leader="none"/>
          <w:tab w:val="right" w:pos="8691" w:leader="none"/>
        </w:tabs>
        <w:ind w:start="864" w:end="0"/>
        <w:jc w:val="both"/>
        <w:rPr>
          <w:sz w:val="24"/>
          <w:lang w:eastAsia="en-US"/>
        </w:rPr>
      </w:pPr>
      <w:r>
        <w:rPr>
          <w:sz w:val="24"/>
          <w:lang w:eastAsia="en-US"/>
        </w:rPr>
      </w:r>
    </w:p>
    <w:p>
      <w:pPr>
        <w:pStyle w:val="BodyText"/>
        <w:ind w:start="864" w:end="0"/>
        <w:jc w:val="both"/>
        <w:rPr/>
      </w:pPr>
      <w:r>
        <w:rPr/>
        <w:t>4.0  On the North American emissions of greenhouse gases and the potential to promote forest conservation, energy efficiency and renewables through the establishment of carbon emissions trading regime.</w:t>
      </w:r>
    </w:p>
    <w:p>
      <w:pPr>
        <w:pStyle w:val="Normal"/>
        <w:tabs>
          <w:tab w:val="clear" w:pos="720"/>
          <w:tab w:val="right" w:pos="6321" w:leader="none"/>
        </w:tabs>
        <w:ind w:start="864" w:end="0"/>
        <w:jc w:val="both"/>
        <w:rPr>
          <w:sz w:val="24"/>
          <w:lang w:eastAsia="en-US"/>
        </w:rPr>
      </w:pPr>
      <w:r>
        <w:rPr>
          <w:sz w:val="24"/>
          <w:lang w:eastAsia="en-US"/>
        </w:rPr>
      </w:r>
    </w:p>
    <w:p>
      <w:pPr>
        <w:pStyle w:val="Normal"/>
        <w:tabs>
          <w:tab w:val="clear" w:pos="720"/>
          <w:tab w:val="right" w:pos="6321" w:leader="none"/>
        </w:tabs>
        <w:ind w:start="864" w:end="0"/>
        <w:jc w:val="both"/>
        <w:rPr>
          <w:sz w:val="24"/>
          <w:lang w:eastAsia="en-US"/>
        </w:rPr>
      </w:pPr>
      <w:r>
        <w:rPr>
          <w:sz w:val="24"/>
          <w:lang w:eastAsia="en-US"/>
        </w:rPr>
        <w:t xml:space="preserve">The Advisory Board recognizes the great challenge we face in addressing the complex dynamics of climate change. It is estimated that the electricity sector accounts for approximately 35 percent of the generation of carbon dioxide gases in North America. Absent effective national carbon reduction strategies, future increased generating capacity is likely to significantly elevate carbon emission to the atmosphere. </w:t>
      </w:r>
    </w:p>
    <w:p>
      <w:pPr>
        <w:pStyle w:val="Normal"/>
        <w:tabs>
          <w:tab w:val="clear" w:pos="720"/>
          <w:tab w:val="right" w:pos="6321" w:leader="none"/>
        </w:tabs>
        <w:ind w:start="864" w:end="0"/>
        <w:jc w:val="both"/>
        <w:rPr>
          <w:sz w:val="24"/>
          <w:lang w:eastAsia="en-US"/>
        </w:rPr>
      </w:pPr>
      <w:r>
        <w:rPr>
          <w:sz w:val="24"/>
          <w:lang w:eastAsia="en-US"/>
        </w:rPr>
      </w:r>
    </w:p>
    <w:p>
      <w:pPr>
        <w:pStyle w:val="Normal"/>
        <w:tabs>
          <w:tab w:val="clear" w:pos="720"/>
          <w:tab w:val="right" w:pos="6321" w:leader="none"/>
        </w:tabs>
        <w:ind w:start="864" w:end="0"/>
        <w:jc w:val="both"/>
        <w:rPr>
          <w:sz w:val="24"/>
          <w:lang w:eastAsia="en-US"/>
        </w:rPr>
      </w:pPr>
      <w:r>
        <w:rPr>
          <w:sz w:val="24"/>
          <w:lang w:eastAsia="en-US"/>
        </w:rPr>
        <w:t>The CEC Council has emphasized the need for the Parties to work together to explore actively the application of market mechanisms to reduce carbon through sequestration, renewables and energy efficiency. The Advisory Board notes the potential for these strategies to generate substantial resources for cleaner energy sources. Accordingly, the Advisory Board urges the Parties to move quickly to define and implement compatible carbon reduction strategies in the region. Specific actions should include:</w:t>
      </w:r>
    </w:p>
    <w:p>
      <w:pPr>
        <w:pStyle w:val="Normal"/>
        <w:ind w:start="864" w:end="0"/>
        <w:jc w:val="both"/>
        <w:rPr>
          <w:sz w:val="24"/>
          <w:lang w:eastAsia="en-US"/>
        </w:rPr>
      </w:pPr>
      <w:r>
        <w:rPr>
          <w:sz w:val="24"/>
          <w:lang w:eastAsia="en-US"/>
        </w:rPr>
      </w:r>
    </w:p>
    <w:p>
      <w:pPr>
        <w:pStyle w:val="Normal"/>
        <w:numPr>
          <w:ilvl w:val="0"/>
          <w:numId w:val="5"/>
        </w:numPr>
        <w:tabs>
          <w:tab w:val="clear" w:pos="720"/>
          <w:tab w:val="left" w:pos="864" w:leader="none"/>
          <w:tab w:val="right" w:pos="6321" w:leader="none"/>
        </w:tabs>
        <w:ind w:hanging="0" w:start="504" w:end="0"/>
        <w:jc w:val="both"/>
        <w:rPr>
          <w:sz w:val="24"/>
          <w:lang w:eastAsia="en-US"/>
        </w:rPr>
      </w:pPr>
      <w:r>
        <w:rPr>
          <w:sz w:val="24"/>
          <w:lang w:eastAsia="en-US"/>
        </w:rPr>
        <w:t>Developing North American greenhouse gas emission inventories that can support the integrity of joint implementation projects and greenhouse gas emissions trading policies;</w:t>
      </w:r>
    </w:p>
    <w:p>
      <w:pPr>
        <w:pStyle w:val="Normal"/>
        <w:tabs>
          <w:tab w:val="clear" w:pos="720"/>
          <w:tab w:val="right" w:pos="6321" w:leader="none"/>
        </w:tabs>
        <w:ind w:start="864" w:end="0"/>
        <w:jc w:val="both"/>
        <w:rPr>
          <w:sz w:val="24"/>
          <w:lang w:eastAsia="en-US"/>
        </w:rPr>
      </w:pPr>
      <w:r>
        <w:rPr>
          <w:sz w:val="24"/>
          <w:lang w:eastAsia="en-US"/>
        </w:rPr>
      </w:r>
    </w:p>
    <w:p>
      <w:pPr>
        <w:pStyle w:val="Normal"/>
        <w:numPr>
          <w:ilvl w:val="0"/>
          <w:numId w:val="3"/>
        </w:numPr>
        <w:tabs>
          <w:tab w:val="clear" w:pos="720"/>
          <w:tab w:val="left" w:pos="864" w:leader="none"/>
          <w:tab w:val="right" w:pos="6321" w:leader="none"/>
        </w:tabs>
        <w:ind w:hanging="0" w:start="504" w:end="0"/>
        <w:jc w:val="both"/>
        <w:rPr>
          <w:sz w:val="24"/>
          <w:lang w:eastAsia="en-US"/>
        </w:rPr>
      </w:pPr>
      <w:r>
        <w:rPr>
          <w:sz w:val="24"/>
          <w:lang w:eastAsia="en-US"/>
        </w:rPr>
        <w:t>Establishing a framework of necessary elements for a greenhouse gas trading regime in North America;</w:t>
      </w:r>
    </w:p>
    <w:p>
      <w:pPr>
        <w:pStyle w:val="Normal"/>
        <w:tabs>
          <w:tab w:val="clear" w:pos="720"/>
          <w:tab w:val="right" w:pos="6321" w:leader="none"/>
        </w:tabs>
        <w:ind w:start="864" w:end="0"/>
        <w:jc w:val="both"/>
        <w:rPr>
          <w:sz w:val="24"/>
          <w:lang w:eastAsia="en-US"/>
        </w:rPr>
      </w:pPr>
      <w:r>
        <w:rPr>
          <w:sz w:val="24"/>
          <w:lang w:eastAsia="en-US"/>
        </w:rPr>
      </w:r>
    </w:p>
    <w:p>
      <w:pPr>
        <w:pStyle w:val="Normal"/>
        <w:numPr>
          <w:ilvl w:val="0"/>
          <w:numId w:val="7"/>
        </w:numPr>
        <w:tabs>
          <w:tab w:val="clear" w:pos="720"/>
          <w:tab w:val="left" w:pos="864" w:leader="none"/>
          <w:tab w:val="right" w:pos="6321" w:leader="none"/>
        </w:tabs>
        <w:ind w:hanging="0" w:start="504" w:end="0"/>
        <w:jc w:val="both"/>
        <w:rPr>
          <w:sz w:val="24"/>
          <w:lang w:eastAsia="en-US"/>
        </w:rPr>
      </w:pPr>
      <w:r>
        <w:rPr>
          <w:sz w:val="24"/>
          <w:lang w:eastAsia="en-US"/>
        </w:rPr>
        <w:t xml:space="preserve">Demonstrating through North American pilot programs that carbon trading can generate resources for Mexico to accelerate investment, capital turnover and state-of-the-art pollution control technologies. </w:t>
      </w:r>
    </w:p>
    <w:p>
      <w:pPr>
        <w:pStyle w:val="Normal"/>
        <w:tabs>
          <w:tab w:val="clear" w:pos="720"/>
          <w:tab w:val="right" w:pos="8411" w:leader="none"/>
        </w:tabs>
        <w:ind w:start="864" w:end="0"/>
        <w:jc w:val="both"/>
        <w:rPr>
          <w:b/>
          <w:sz w:val="24"/>
          <w:u w:val="single"/>
          <w:lang w:eastAsia="en-US"/>
        </w:rPr>
      </w:pPr>
      <w:r>
        <w:rPr>
          <w:b/>
          <w:sz w:val="24"/>
          <w:u w:val="single"/>
          <w:lang w:eastAsia="en-US"/>
        </w:rPr>
      </w:r>
    </w:p>
    <w:p>
      <w:pPr>
        <w:pStyle w:val="Normal"/>
        <w:tabs>
          <w:tab w:val="clear" w:pos="720"/>
          <w:tab w:val="right" w:pos="8411" w:leader="none"/>
        </w:tabs>
        <w:ind w:start="864" w:end="0"/>
        <w:jc w:val="both"/>
        <w:rPr>
          <w:b/>
          <w:sz w:val="24"/>
          <w:lang w:eastAsia="en-US"/>
        </w:rPr>
      </w:pPr>
      <w:r>
        <w:rPr>
          <w:b/>
          <w:sz w:val="24"/>
          <w:lang w:eastAsia="en-US"/>
        </w:rPr>
        <w:t>5.0 On promoting the development and use of renewable energy sources</w:t>
      </w:r>
    </w:p>
    <w:p>
      <w:pPr>
        <w:pStyle w:val="Normal"/>
        <w:tabs>
          <w:tab w:val="clear" w:pos="720"/>
          <w:tab w:val="right" w:pos="8411" w:leader="none"/>
        </w:tabs>
        <w:ind w:start="864" w:end="0"/>
        <w:jc w:val="both"/>
        <w:rPr>
          <w:b/>
          <w:sz w:val="24"/>
          <w:u w:val="single"/>
          <w:lang w:eastAsia="en-US"/>
        </w:rPr>
      </w:pPr>
      <w:r>
        <w:rPr>
          <w:b/>
          <w:sz w:val="24"/>
          <w:u w:val="single"/>
          <w:lang w:eastAsia="en-US"/>
        </w:rPr>
      </w:r>
    </w:p>
    <w:p>
      <w:pPr>
        <w:pStyle w:val="Normal"/>
        <w:tabs>
          <w:tab w:val="clear" w:pos="720"/>
          <w:tab w:val="right" w:pos="7706" w:leader="none"/>
        </w:tabs>
        <w:ind w:start="864" w:end="0"/>
        <w:jc w:val="both"/>
        <w:rPr>
          <w:sz w:val="24"/>
          <w:lang w:eastAsia="en-US"/>
        </w:rPr>
      </w:pPr>
      <w:r>
        <w:rPr>
          <w:sz w:val="24"/>
          <w:lang w:eastAsia="en-US"/>
        </w:rPr>
        <w:t>Renewable electricity sources represent a key component of a diversified energy portfolio, helping to cushion the impact of conventional sources. The Advisory Board agrees that better internalization of the environmental cost of electricity (including, for example, costs to the health care system and lost productivity) will help level the playing field for renewable sources of electricity.</w:t>
      </w:r>
    </w:p>
    <w:p>
      <w:pPr>
        <w:pStyle w:val="Normal"/>
        <w:tabs>
          <w:tab w:val="clear" w:pos="720"/>
          <w:tab w:val="right" w:pos="7706" w:leader="none"/>
        </w:tabs>
        <w:ind w:start="864" w:end="0"/>
        <w:jc w:val="both"/>
        <w:rPr>
          <w:sz w:val="24"/>
          <w:lang w:eastAsia="en-US"/>
        </w:rPr>
      </w:pPr>
      <w:r>
        <w:rPr>
          <w:sz w:val="24"/>
          <w:lang w:eastAsia="en-US"/>
        </w:rPr>
      </w:r>
    </w:p>
    <w:p>
      <w:pPr>
        <w:pStyle w:val="Normal"/>
        <w:tabs>
          <w:tab w:val="clear" w:pos="720"/>
          <w:tab w:val="right" w:pos="7706" w:leader="none"/>
        </w:tabs>
        <w:ind w:start="864" w:end="0"/>
        <w:jc w:val="both"/>
        <w:rPr>
          <w:sz w:val="24"/>
          <w:lang w:eastAsia="en-US"/>
        </w:rPr>
      </w:pPr>
      <w:r>
        <w:rPr>
          <w:sz w:val="24"/>
          <w:lang w:eastAsia="en-US"/>
        </w:rPr>
        <w:t>Recently, some jurisdictions and entrepreneurs have introduced mechanisms that allow consumers to dedicate part or all of their electricity bills to sources deemed “clean” or “renewable” by local jurisdictions or third-party certification bodies. While it remains too early to evaluate the effect of these mechanisms, the Advisory Board regards them as promising developments and supports their introduction.</w:t>
      </w:r>
    </w:p>
    <w:p>
      <w:pPr>
        <w:pStyle w:val="Normal"/>
        <w:ind w:start="864" w:end="0"/>
        <w:jc w:val="both"/>
        <w:rPr>
          <w:sz w:val="24"/>
          <w:lang w:eastAsia="en-US"/>
        </w:rPr>
      </w:pPr>
      <w:r>
        <w:rPr>
          <w:sz w:val="24"/>
          <w:lang w:eastAsia="en-US"/>
        </w:rPr>
      </w:r>
    </w:p>
    <w:p>
      <w:pPr>
        <w:pStyle w:val="Normal"/>
        <w:numPr>
          <w:ilvl w:val="0"/>
          <w:numId w:val="8"/>
        </w:numPr>
        <w:tabs>
          <w:tab w:val="clear" w:pos="720"/>
          <w:tab w:val="left" w:pos="360" w:leader="none"/>
        </w:tabs>
        <w:ind w:hanging="360" w:start="864" w:end="0"/>
        <w:jc w:val="both"/>
        <w:rPr>
          <w:sz w:val="24"/>
          <w:lang w:eastAsia="en-US"/>
        </w:rPr>
      </w:pPr>
      <w:r>
        <w:rPr>
          <w:sz w:val="24"/>
          <w:lang w:eastAsia="en-US"/>
        </w:rPr>
        <w:t>Aggressive efforts should be made to support renewable energy, including market-based incentives, tax inducements, research and development funding.</w:t>
      </w:r>
    </w:p>
    <w:p>
      <w:pPr>
        <w:pStyle w:val="Normal"/>
        <w:numPr>
          <w:ilvl w:val="0"/>
          <w:numId w:val="0"/>
        </w:numPr>
        <w:ind w:hanging="0" w:start="864" w:end="0"/>
        <w:jc w:val="both"/>
        <w:rPr>
          <w:sz w:val="24"/>
          <w:lang w:eastAsia="en-US"/>
        </w:rPr>
      </w:pPr>
      <w:r>
        <w:rPr>
          <w:sz w:val="24"/>
          <w:lang w:eastAsia="en-US"/>
        </w:rPr>
      </w:r>
    </w:p>
    <w:p>
      <w:pPr>
        <w:pStyle w:val="Normal"/>
        <w:numPr>
          <w:ilvl w:val="0"/>
          <w:numId w:val="6"/>
        </w:numPr>
        <w:ind w:hanging="360" w:start="864" w:end="0"/>
        <w:jc w:val="both"/>
        <w:rPr>
          <w:sz w:val="24"/>
          <w:lang w:eastAsia="en-US"/>
        </w:rPr>
      </w:pPr>
      <w:r>
        <w:rPr>
          <w:sz w:val="24"/>
          <w:lang w:eastAsia="en-US"/>
        </w:rPr>
        <w:t xml:space="preserve">  </w:t>
      </w:r>
      <w:r>
        <w:rPr>
          <w:sz w:val="24"/>
          <w:lang w:eastAsia="en-US"/>
        </w:rPr>
        <w:t>A dialogue should be commenced among industry, government and nongovernmental organizations to explore opportunities for developing a more consistent regional approach to defining “renewable” energy, including a fuller understanding of the rationale behind the many existing definitions.</w:t>
      </w:r>
    </w:p>
    <w:p>
      <w:pPr>
        <w:pStyle w:val="Normal"/>
        <w:tabs>
          <w:tab w:val="clear" w:pos="720"/>
          <w:tab w:val="right" w:pos="3981" w:leader="none"/>
        </w:tabs>
        <w:ind w:start="864" w:end="0"/>
        <w:jc w:val="both"/>
        <w:rPr>
          <w:b/>
          <w:sz w:val="24"/>
          <w:lang w:eastAsia="en-US"/>
        </w:rPr>
      </w:pPr>
      <w:r>
        <w:rPr>
          <w:b/>
          <w:sz w:val="24"/>
          <w:lang w:eastAsia="en-US"/>
        </w:rPr>
      </w:r>
    </w:p>
    <w:p>
      <w:pPr>
        <w:pStyle w:val="Normal"/>
        <w:tabs>
          <w:tab w:val="clear" w:pos="720"/>
          <w:tab w:val="left" w:pos="360" w:leader="none"/>
        </w:tabs>
        <w:ind w:start="864" w:end="0"/>
        <w:jc w:val="both"/>
        <w:rPr>
          <w:b/>
          <w:sz w:val="24"/>
          <w:lang w:eastAsia="en-US"/>
        </w:rPr>
      </w:pPr>
      <w:r>
        <w:rPr>
          <w:b/>
          <w:sz w:val="24"/>
          <w:lang w:eastAsia="en-US"/>
        </w:rPr>
      </w:r>
    </w:p>
    <w:p>
      <w:pPr>
        <w:pStyle w:val="Normal"/>
        <w:ind w:start="864" w:end="0"/>
        <w:jc w:val="both"/>
        <w:rPr>
          <w:b/>
          <w:sz w:val="24"/>
          <w:lang w:eastAsia="en-US"/>
        </w:rPr>
      </w:pPr>
      <w:r>
        <w:rPr>
          <w:b/>
          <w:sz w:val="24"/>
          <w:lang w:eastAsia="en-US"/>
        </w:rPr>
        <w:t>6.0 On demand side measures to conserve electricity and promote environmentally preferred electricity.</w:t>
      </w:r>
    </w:p>
    <w:p>
      <w:pPr>
        <w:pStyle w:val="Normal"/>
        <w:ind w:start="864" w:end="0"/>
        <w:jc w:val="both"/>
        <w:rPr>
          <w:b/>
          <w:sz w:val="24"/>
          <w:lang w:eastAsia="en-US"/>
        </w:rPr>
      </w:pPr>
      <w:r>
        <w:rPr>
          <w:b/>
          <w:sz w:val="24"/>
          <w:lang w:eastAsia="en-US"/>
        </w:rPr>
      </w:r>
    </w:p>
    <w:p>
      <w:pPr>
        <w:pStyle w:val="Normal"/>
        <w:ind w:start="864" w:end="0"/>
        <w:jc w:val="both"/>
        <w:rPr>
          <w:sz w:val="24"/>
          <w:lang w:eastAsia="en-US"/>
        </w:rPr>
      </w:pPr>
      <w:r>
        <w:rPr>
          <w:sz w:val="24"/>
          <w:lang w:eastAsia="en-US"/>
        </w:rPr>
        <w:t>Coupled with other supportive policies, a host of demand</w:t>
        <w:noBreakHyphen/>
        <w:t xml:space="preserve">side conservation measures represent effective policy tools to help address electricity supply considerations. An array of available programs, approaches and initiatives enjoy a long history of application and a proven, cost-effective track record </w:t>
      </w:r>
    </w:p>
    <w:p>
      <w:pPr>
        <w:pStyle w:val="Normal"/>
        <w:ind w:start="864" w:end="0"/>
        <w:jc w:val="both"/>
        <w:rPr>
          <w:sz w:val="24"/>
          <w:lang w:eastAsia="en-US"/>
        </w:rPr>
      </w:pPr>
      <w:r>
        <w:rPr>
          <w:sz w:val="24"/>
          <w:lang w:eastAsia="en-US"/>
        </w:rPr>
      </w:r>
    </w:p>
    <w:p>
      <w:pPr>
        <w:pStyle w:val="Normal"/>
        <w:ind w:start="864" w:end="0"/>
        <w:jc w:val="both"/>
        <w:rPr>
          <w:sz w:val="24"/>
          <w:lang w:eastAsia="en-US"/>
        </w:rPr>
      </w:pPr>
      <w:r>
        <w:rPr>
          <w:sz w:val="24"/>
          <w:lang w:eastAsia="en-US"/>
        </w:rPr>
      </w:r>
    </w:p>
    <w:p>
      <w:pPr>
        <w:pStyle w:val="Normal"/>
        <w:ind w:start="864" w:end="0"/>
        <w:jc w:val="both"/>
        <w:rPr>
          <w:b/>
          <w:sz w:val="24"/>
          <w:lang w:eastAsia="en-US"/>
        </w:rPr>
      </w:pPr>
      <w:r>
        <w:rPr>
          <w:b/>
          <w:sz w:val="24"/>
          <w:lang w:eastAsia="en-US"/>
        </w:rPr>
        <w:t>7.0 On technology transfer and assistance for adopting cleaner generation technologies</w:t>
      </w:r>
    </w:p>
    <w:p>
      <w:pPr>
        <w:pStyle w:val="Normal"/>
        <w:ind w:start="864" w:end="0"/>
        <w:jc w:val="both"/>
        <w:rPr>
          <w:b/>
          <w:sz w:val="24"/>
          <w:lang w:eastAsia="en-US"/>
        </w:rPr>
      </w:pPr>
      <w:r>
        <w:rPr>
          <w:b/>
          <w:sz w:val="24"/>
          <w:lang w:eastAsia="en-US"/>
        </w:rPr>
      </w:r>
    </w:p>
    <w:p>
      <w:pPr>
        <w:pStyle w:val="Normal"/>
        <w:ind w:start="864" w:end="0"/>
        <w:jc w:val="both"/>
        <w:rPr>
          <w:sz w:val="24"/>
          <w:lang w:eastAsia="en-US"/>
        </w:rPr>
      </w:pPr>
      <w:r>
        <w:rPr>
          <w:sz w:val="24"/>
          <w:lang w:eastAsia="en-US"/>
        </w:rPr>
        <w:t>Deeper market integration offers the potential to increase investment in cleaner technologies and infrastructure, increasing capital turnover of older equipment and accelerating the diffusion of new technologies. The governments must continue to build supportive policy frameworks to catalyze these positive effects, by:</w:t>
      </w:r>
    </w:p>
    <w:p>
      <w:pPr>
        <w:pStyle w:val="Normal"/>
        <w:ind w:start="864" w:end="0"/>
        <w:jc w:val="both"/>
        <w:rPr>
          <w:sz w:val="24"/>
          <w:lang w:eastAsia="en-US"/>
        </w:rPr>
      </w:pPr>
      <w:r>
        <w:rPr>
          <w:sz w:val="24"/>
          <w:lang w:eastAsia="en-US"/>
        </w:rPr>
      </w:r>
    </w:p>
    <w:p>
      <w:pPr>
        <w:pStyle w:val="Normal"/>
        <w:numPr>
          <w:ilvl w:val="0"/>
          <w:numId w:val="8"/>
        </w:numPr>
        <w:tabs>
          <w:tab w:val="clear" w:pos="720"/>
          <w:tab w:val="left" w:pos="360" w:leader="none"/>
        </w:tabs>
        <w:ind w:hanging="360" w:start="864" w:end="0"/>
        <w:jc w:val="both"/>
        <w:rPr>
          <w:sz w:val="24"/>
          <w:lang w:eastAsia="en-US"/>
        </w:rPr>
      </w:pPr>
      <w:r>
        <w:rPr>
          <w:sz w:val="24"/>
          <w:lang w:eastAsia="en-US"/>
        </w:rPr>
        <w:t>Eliminating tariffs and other restrictions on sale and export of renewable products (e.g., fuel cells, solar panel, turbines) and advanced pollution control technology.</w:t>
      </w:r>
    </w:p>
    <w:p>
      <w:pPr>
        <w:pStyle w:val="Normal"/>
        <w:ind w:start="864" w:end="0"/>
        <w:jc w:val="both"/>
        <w:rPr>
          <w:sz w:val="24"/>
          <w:lang w:eastAsia="en-US"/>
        </w:rPr>
      </w:pPr>
      <w:r>
        <w:rPr>
          <w:sz w:val="24"/>
          <w:lang w:eastAsia="en-US"/>
        </w:rPr>
      </w:r>
    </w:p>
    <w:p>
      <w:pPr>
        <w:pStyle w:val="Normal"/>
        <w:numPr>
          <w:ilvl w:val="0"/>
          <w:numId w:val="8"/>
        </w:numPr>
        <w:tabs>
          <w:tab w:val="clear" w:pos="720"/>
          <w:tab w:val="left" w:pos="360" w:leader="none"/>
        </w:tabs>
        <w:ind w:hanging="360" w:start="864" w:end="0"/>
        <w:jc w:val="both"/>
        <w:rPr>
          <w:sz w:val="24"/>
          <w:lang w:eastAsia="en-US"/>
        </w:rPr>
      </w:pPr>
      <w:r>
        <w:rPr>
          <w:sz w:val="24"/>
          <w:lang w:eastAsia="en-US"/>
        </w:rPr>
        <w:t>Increased incentives for research and development in North America for cleaner technologies.</w:t>
      </w:r>
    </w:p>
    <w:p>
      <w:pPr>
        <w:pStyle w:val="Normal"/>
        <w:numPr>
          <w:ilvl w:val="0"/>
          <w:numId w:val="0"/>
        </w:numPr>
        <w:ind w:hanging="0" w:start="864" w:end="0"/>
        <w:jc w:val="both"/>
        <w:rPr>
          <w:sz w:val="24"/>
          <w:lang w:eastAsia="en-US"/>
        </w:rPr>
      </w:pPr>
      <w:r>
        <w:rPr>
          <w:sz w:val="24"/>
          <w:lang w:eastAsia="en-US"/>
        </w:rPr>
      </w:r>
    </w:p>
    <w:p>
      <w:pPr>
        <w:pStyle w:val="Normal"/>
        <w:numPr>
          <w:ilvl w:val="0"/>
          <w:numId w:val="8"/>
        </w:numPr>
        <w:tabs>
          <w:tab w:val="clear" w:pos="720"/>
          <w:tab w:val="left" w:pos="360" w:leader="none"/>
        </w:tabs>
        <w:ind w:hanging="360" w:start="864" w:end="0"/>
        <w:jc w:val="both"/>
        <w:rPr>
          <w:sz w:val="24"/>
          <w:lang w:eastAsia="en-US"/>
        </w:rPr>
      </w:pPr>
      <w:r>
        <w:rPr>
          <w:sz w:val="24"/>
          <w:lang w:eastAsia="en-US"/>
        </w:rPr>
        <w:t>Creating a North American fund to promote adoption of best available control technologies and best practices in energy efficiency and conservation.</w:t>
      </w:r>
    </w:p>
    <w:p>
      <w:pPr>
        <w:pStyle w:val="Normal"/>
        <w:ind w:start="864" w:end="0"/>
        <w:jc w:val="both"/>
        <w:rPr>
          <w:sz w:val="24"/>
          <w:lang w:eastAsia="en-US"/>
        </w:rPr>
      </w:pPr>
      <w:r>
        <w:rPr>
          <w:sz w:val="24"/>
          <w:lang w:eastAsia="en-US"/>
        </w:rPr>
      </w:r>
    </w:p>
    <w:sectPr>
      <w:footerReference w:type="default" r:id="rId2"/>
      <w:footerReference w:type="first" r:id="rId3"/>
      <w:type w:val="nextPage"/>
      <w:pgSz w:w="12240" w:h="15840"/>
      <w:pgMar w:left="1440" w:right="1440" w:gutter="0" w:header="0" w:top="187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62.4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0"/>
      <w:lvlJc w:val="start"/>
      <w:pPr>
        <w:tabs>
          <w:tab w:val="num" w:pos="1224"/>
        </w:tabs>
        <w:ind w:start="1224" w:hanging="360"/>
      </w:pPr>
      <w:rPr/>
    </w:lvl>
    <w:lvl w:ilvl="1">
      <w:start w:val="1"/>
      <w:numFmt w:val="decimal"/>
      <w:lvlText w:val="%1.%2"/>
      <w:lvlJc w:val="start"/>
      <w:pPr>
        <w:tabs>
          <w:tab w:val="num" w:pos="1944"/>
        </w:tabs>
        <w:ind w:start="1944" w:hanging="360"/>
      </w:pPr>
      <w:rPr/>
    </w:lvl>
    <w:lvl w:ilvl="2">
      <w:start w:val="1"/>
      <w:numFmt w:val="decimal"/>
      <w:lvlText w:val="%1.%2.%3"/>
      <w:lvlJc w:val="start"/>
      <w:pPr>
        <w:tabs>
          <w:tab w:val="num" w:pos="3024"/>
        </w:tabs>
        <w:ind w:start="3024" w:hanging="720"/>
      </w:pPr>
      <w:rPr/>
    </w:lvl>
    <w:lvl w:ilvl="3">
      <w:start w:val="1"/>
      <w:numFmt w:val="decimal"/>
      <w:lvlText w:val="%1.%2.%3.%4"/>
      <w:lvlJc w:val="start"/>
      <w:pPr>
        <w:tabs>
          <w:tab w:val="num" w:pos="3744"/>
        </w:tabs>
        <w:ind w:start="3744" w:hanging="720"/>
      </w:pPr>
      <w:rPr/>
    </w:lvl>
    <w:lvl w:ilvl="4">
      <w:start w:val="1"/>
      <w:numFmt w:val="decimal"/>
      <w:lvlText w:val="%1.%2.%3.%4.%5"/>
      <w:lvlJc w:val="start"/>
      <w:pPr>
        <w:tabs>
          <w:tab w:val="num" w:pos="4824"/>
        </w:tabs>
        <w:ind w:start="4824" w:hanging="1080"/>
      </w:pPr>
      <w:rPr/>
    </w:lvl>
    <w:lvl w:ilvl="5">
      <w:start w:val="1"/>
      <w:numFmt w:val="decimal"/>
      <w:lvlText w:val="%1.%2.%3.%4.%5.%6"/>
      <w:lvlJc w:val="start"/>
      <w:pPr>
        <w:tabs>
          <w:tab w:val="num" w:pos="5544"/>
        </w:tabs>
        <w:ind w:start="5544" w:hanging="1080"/>
      </w:pPr>
      <w:rPr/>
    </w:lvl>
    <w:lvl w:ilvl="6">
      <w:start w:val="1"/>
      <w:numFmt w:val="decimal"/>
      <w:lvlText w:val="%1.%2.%3.%4.%5.%6.%7"/>
      <w:lvlJc w:val="start"/>
      <w:pPr>
        <w:tabs>
          <w:tab w:val="num" w:pos="6624"/>
        </w:tabs>
        <w:ind w:start="6624" w:hanging="1440"/>
      </w:pPr>
      <w:rPr/>
    </w:lvl>
    <w:lvl w:ilvl="7">
      <w:start w:val="1"/>
      <w:numFmt w:val="decimal"/>
      <w:lvlText w:val="%1.%2.%3.%4.%5.%6.%7.%8"/>
      <w:lvlJc w:val="start"/>
      <w:pPr>
        <w:tabs>
          <w:tab w:val="num" w:pos="7344"/>
        </w:tabs>
        <w:ind w:start="7344" w:hanging="1440"/>
      </w:pPr>
      <w:rPr/>
    </w:lvl>
    <w:lvl w:ilvl="8">
      <w:start w:val="1"/>
      <w:numFmt w:val="decimal"/>
      <w:lvlText w:val="%1.%2.%3.%4.%5.%6.%7.%8.%9"/>
      <w:lvlJc w:val="start"/>
      <w:pPr>
        <w:tabs>
          <w:tab w:val="num" w:pos="8424"/>
        </w:tabs>
        <w:ind w:start="8424" w:hanging="180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360" w:hanging="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360" w:hanging="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360" w:hanging="0"/>
      </w:pPr>
      <w:rPr>
        <w:rFonts w:ascii="Symbol" w:hAnsi="Symbol" w:cs="Symbol" w:hint="default"/>
        <w:color w:val="auto"/>
      </w:rPr>
    </w:lvl>
  </w:abstractNum>
  <w:abstractNum w:abstractNumId="8">
    <w:lvl w:ilvl="0">
      <w:numFmt w:val="bullet"/>
      <w:lvlText w:val=""/>
      <w:lvlJc w:val="start"/>
      <w:pPr>
        <w:tabs>
          <w:tab w:val="num" w:pos="360"/>
        </w:tabs>
        <w:ind w:start="360" w:hanging="360"/>
      </w:pPr>
      <w:rPr>
        <w:rFonts w:ascii="Symbol" w:hAnsi="Symbol" w:cs="Symbol" w:hint="default"/>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color w:val="auto"/>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u w:val="single"/>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6321" w:leader="none"/>
      </w:tabs>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2001-12-14T18:12:00Z</dcterms:created>
  <dc:creator>CNACE</dc:creator>
  <dc:description/>
  <dc:language>en-CA</dc:language>
  <cp:lastModifiedBy>Martine Veilleux</cp:lastModifiedBy>
  <cp:lastPrinted>2001-12-21T14:13:00Z</cp:lastPrinted>
  <dcterms:modified xsi:type="dcterms:W3CDTF">2001-12-21T16:49:00Z</dcterms:modified>
  <cp:revision>6</cp:revision>
  <dc:subject/>
  <dc:title>PROMOTING THE DEVELOPMENT AND USE OF RENEWABLE</dc:title>
</cp:coreProperties>
</file>