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both"/>
        <w:rPr>
          <w:b/>
          <w:sz w:val="24"/>
        </w:rPr>
      </w:pPr>
      <w:r>
        <w:rPr>
          <w:b/>
          <w:sz w:val="24"/>
        </w:rPr>
        <w:t>Information Needed By All Market Participants To Facilitate Transmission Congestion Studies In ERCOT</w:t>
      </w:r>
    </w:p>
    <w:p>
      <w:pPr>
        <w:pStyle w:val="Heading2"/>
        <w:ind w:hanging="0" w:start="0" w:end="0"/>
        <w:jc w:val="both"/>
        <w:rPr>
          <w:b/>
          <w:sz w:val="24"/>
        </w:rPr>
      </w:pPr>
      <w:r>
        <w:rPr>
          <w:b/>
          <w:sz w:val="24"/>
        </w:rPr>
      </w:r>
    </w:p>
    <w:p>
      <w:pPr>
        <w:pStyle w:val="Heading2"/>
        <w:ind w:hanging="0" w:start="0" w:end="0"/>
        <w:jc w:val="both"/>
        <w:rPr>
          <w:sz w:val="24"/>
        </w:rPr>
      </w:pPr>
      <w:r>
        <w:rPr>
          <w:sz w:val="24"/>
        </w:rPr>
      </w:r>
    </w:p>
    <w:p>
      <w:pPr>
        <w:pStyle w:val="Heading2"/>
        <w:ind w:hanging="0" w:start="0" w:end="0"/>
        <w:jc w:val="both"/>
        <w:rPr>
          <w:sz w:val="20"/>
        </w:rPr>
      </w:pPr>
      <w:r>
        <w:rPr>
          <w:sz w:val="20"/>
        </w:rPr>
        <w:t>Beyond the information that is already available from ERCOT, such as the Steady State Load Flow Task Force (SSTF) base cases, there exists a need for additional information by market participants.  This information is, or will be, utilized by ERCOT in its transmission planning and operations functions and its availability to the market is necessary to fully anticipate and understand the affects of ERCOT planning and operations decisions on the market.  The following describes the nature of this information under market issues and identifies seven specific informational needs.</w:t>
      </w:r>
    </w:p>
    <w:p>
      <w:pPr>
        <w:pStyle w:val="Heading2"/>
        <w:ind w:hanging="0" w:start="0" w:end="0"/>
        <w:jc w:val="both"/>
        <w:rPr>
          <w:sz w:val="24"/>
        </w:rPr>
      </w:pPr>
      <w:r>
        <w:rPr>
          <w:sz w:val="24"/>
        </w:rPr>
      </w:r>
    </w:p>
    <w:p>
      <w:pPr>
        <w:pStyle w:val="Heading2"/>
        <w:ind w:hanging="0" w:start="0" w:end="0"/>
        <w:jc w:val="both"/>
        <w:rPr>
          <w:b/>
          <w:sz w:val="24"/>
          <w:u w:val="single"/>
        </w:rPr>
      </w:pPr>
      <w:r>
        <w:rPr>
          <w:b/>
          <w:sz w:val="24"/>
          <w:u w:val="single"/>
        </w:rPr>
        <w:t>WMS ACTION REQUEST</w:t>
      </w:r>
    </w:p>
    <w:p>
      <w:pPr>
        <w:pStyle w:val="Heading2"/>
        <w:ind w:hanging="0" w:start="0" w:end="0"/>
        <w:jc w:val="both"/>
        <w:rPr>
          <w:sz w:val="22"/>
        </w:rPr>
      </w:pPr>
      <w:r>
        <w:rPr>
          <w:sz w:val="22"/>
        </w:rPr>
        <w:t xml:space="preserve">It is suggested that the Wholesale Market Subcommittee request the Reliability and Operations Subcommittee (ROS) to review this description and provide the guidance necessary to implement the publication of the required information. </w:t>
      </w:r>
    </w:p>
    <w:p>
      <w:pPr>
        <w:pStyle w:val="Normal"/>
        <w:jc w:val="both"/>
        <w:rPr>
          <w:sz w:val="22"/>
        </w:rPr>
      </w:pPr>
      <w:r>
        <w:rPr>
          <w:sz w:val="22"/>
        </w:rPr>
      </w:r>
    </w:p>
    <w:p>
      <w:pPr>
        <w:pStyle w:val="Heading1"/>
        <w:ind w:hanging="0" w:start="0"/>
        <w:jc w:val="both"/>
        <w:rPr>
          <w:sz w:val="22"/>
        </w:rPr>
      </w:pPr>
      <w:r>
        <w:rPr>
          <w:sz w:val="22"/>
        </w:rPr>
        <w:t>Background - Market Issues</w:t>
      </w:r>
    </w:p>
    <w:p>
      <w:pPr>
        <w:pStyle w:val="Heading2"/>
        <w:numPr>
          <w:ilvl w:val="0"/>
          <w:numId w:val="3"/>
        </w:numPr>
        <w:jc w:val="both"/>
        <w:rPr>
          <w:sz w:val="22"/>
        </w:rPr>
      </w:pPr>
      <w:r>
        <w:rPr>
          <w:sz w:val="22"/>
        </w:rPr>
        <w:t>Section 7 of the ERCOT Protocols addresses how the issue of congestion management will be addressed.</w:t>
      </w:r>
    </w:p>
    <w:p>
      <w:pPr>
        <w:pStyle w:val="Heading2"/>
        <w:numPr>
          <w:ilvl w:val="0"/>
          <w:numId w:val="3"/>
        </w:numPr>
        <w:jc w:val="both"/>
        <w:rPr>
          <w:sz w:val="22"/>
        </w:rPr>
      </w:pPr>
      <w:r>
        <w:rPr>
          <w:sz w:val="22"/>
        </w:rPr>
        <w:t>It provides the framework by which Transmission Congestion Rights (TCRs) will be defined, valued &amp; implemented in the market.</w:t>
      </w:r>
    </w:p>
    <w:p>
      <w:pPr>
        <w:pStyle w:val="Heading2"/>
        <w:numPr>
          <w:ilvl w:val="0"/>
          <w:numId w:val="3"/>
        </w:numPr>
        <w:jc w:val="both"/>
        <w:rPr>
          <w:sz w:val="22"/>
        </w:rPr>
      </w:pPr>
      <w:r>
        <w:rPr>
          <w:sz w:val="22"/>
        </w:rPr>
        <w:t>According to section 7.3.3 - “ERCOT will convert to a direct assignment of cost methodology of CSC Congestion at the earlier of May 1, 2004 or within six months after the cost of clearing CSC Congestion during a rolling twelve month period reaches $20,000,000.”</w:t>
      </w:r>
    </w:p>
    <w:p>
      <w:pPr>
        <w:pStyle w:val="Heading2"/>
        <w:numPr>
          <w:ilvl w:val="0"/>
          <w:numId w:val="3"/>
        </w:numPr>
        <w:jc w:val="both"/>
        <w:rPr>
          <w:sz w:val="22"/>
        </w:rPr>
      </w:pPr>
      <w:r>
        <w:rPr>
          <w:sz w:val="22"/>
        </w:rPr>
        <w:t>All Market Participants (MPs), including ERCOT itself, have the need of being able to perform meaningful market simulations that predict the expected amount of future transmission congestion.</w:t>
      </w:r>
    </w:p>
    <w:p>
      <w:pPr>
        <w:pStyle w:val="Heading2"/>
        <w:numPr>
          <w:ilvl w:val="0"/>
          <w:numId w:val="3"/>
        </w:numPr>
        <w:jc w:val="both"/>
        <w:rPr>
          <w:sz w:val="22"/>
        </w:rPr>
      </w:pPr>
      <w:r>
        <w:rPr>
          <w:sz w:val="22"/>
        </w:rPr>
        <w:t>Many of the pieces of the puzzle required to perform these market simulations (SSTF power flow cases, CSC congestion zones, etc…) are already available to all market participants.</w:t>
      </w:r>
    </w:p>
    <w:p>
      <w:pPr>
        <w:pStyle w:val="Heading2"/>
        <w:numPr>
          <w:ilvl w:val="0"/>
          <w:numId w:val="3"/>
        </w:numPr>
        <w:jc w:val="both"/>
        <w:rPr>
          <w:sz w:val="22"/>
        </w:rPr>
      </w:pPr>
      <w:r>
        <w:rPr>
          <w:sz w:val="22"/>
        </w:rPr>
        <w:t>However, some specific contingency data required to accurately forecast congestion in an automated fashion is still not publicly available to all market participants.</w:t>
      </w:r>
    </w:p>
    <w:p>
      <w:pPr>
        <w:pStyle w:val="Heading2"/>
        <w:numPr>
          <w:ilvl w:val="0"/>
          <w:numId w:val="2"/>
        </w:numPr>
        <w:jc w:val="both"/>
        <w:rPr>
          <w:sz w:val="22"/>
        </w:rPr>
      </w:pPr>
      <w:r>
        <w:rPr>
          <w:sz w:val="22"/>
        </w:rPr>
        <w:t>The following requests (#1 - #5), represent information that is needed by all market participants to perform meaningful transmission studies for ERCOT as a whole.</w:t>
      </w:r>
    </w:p>
    <w:p>
      <w:pPr>
        <w:pStyle w:val="Heading2"/>
        <w:numPr>
          <w:ilvl w:val="0"/>
          <w:numId w:val="2"/>
        </w:numPr>
        <w:jc w:val="both"/>
        <w:rPr>
          <w:sz w:val="22"/>
        </w:rPr>
      </w:pPr>
      <w:r>
        <w:rPr>
          <w:sz w:val="22"/>
        </w:rPr>
        <w:t>The information sought in these requests in conjunction with the dataset A &amp; B power flow models should provide all market participants the information necessary to study future congestion issues.</w:t>
      </w:r>
    </w:p>
    <w:p>
      <w:pPr>
        <w:pStyle w:val="Heading1"/>
        <w:ind w:hanging="0" w:start="0"/>
        <w:jc w:val="both"/>
        <w:rPr>
          <w:sz w:val="22"/>
        </w:rPr>
      </w:pPr>
      <w:r>
        <w:rPr>
          <w:sz w:val="22"/>
        </w:rPr>
      </w:r>
    </w:p>
    <w:p>
      <w:pPr>
        <w:pStyle w:val="Heading1"/>
        <w:ind w:hanging="0" w:start="0"/>
        <w:jc w:val="both"/>
        <w:rPr>
          <w:sz w:val="22"/>
        </w:rPr>
      </w:pPr>
      <w:r>
        <w:rPr>
          <w:sz w:val="22"/>
        </w:rPr>
        <w:t>Request #1</w:t>
      </w:r>
    </w:p>
    <w:p>
      <w:pPr>
        <w:pStyle w:val="Heading2"/>
        <w:numPr>
          <w:ilvl w:val="0"/>
          <w:numId w:val="3"/>
        </w:numPr>
        <w:jc w:val="both"/>
        <w:rPr>
          <w:sz w:val="22"/>
        </w:rPr>
      </w:pPr>
      <w:r>
        <w:rPr>
          <w:sz w:val="22"/>
        </w:rPr>
        <w:t>Publish a listing of single element contingencies, by SSTF bus numbers, that power flow programs perform that aren’t valid (phantom) contingencies from a physical perspective due to modeling limitations.</w:t>
      </w:r>
    </w:p>
    <w:p>
      <w:pPr>
        <w:pStyle w:val="Heading2"/>
        <w:numPr>
          <w:ilvl w:val="0"/>
          <w:numId w:val="3"/>
        </w:numPr>
        <w:jc w:val="both"/>
        <w:rPr>
          <w:sz w:val="22"/>
        </w:rPr>
      </w:pPr>
      <w:r>
        <w:rPr>
          <w:sz w:val="22"/>
        </w:rPr>
        <w:t>Phantom contingencies arise from the automated removal of single branches in load flow modeling where the removal has no physical basis because of the transmission system’s configuration.  The end result of this request is to quickly eliminate modeling contingencies that have no significance in the real world.</w:t>
      </w:r>
    </w:p>
    <w:p>
      <w:pPr>
        <w:pStyle w:val="Heading1"/>
        <w:ind w:hanging="0" w:start="0"/>
        <w:jc w:val="both"/>
        <w:rPr>
          <w:sz w:val="22"/>
        </w:rPr>
      </w:pPr>
      <w:r>
        <w:rPr>
          <w:sz w:val="22"/>
        </w:rPr>
        <w:t>Request #2</w:t>
      </w:r>
    </w:p>
    <w:p>
      <w:pPr>
        <w:pStyle w:val="Heading2"/>
        <w:numPr>
          <w:ilvl w:val="0"/>
          <w:numId w:val="3"/>
        </w:numPr>
        <w:jc w:val="both"/>
        <w:rPr>
          <w:sz w:val="22"/>
        </w:rPr>
      </w:pPr>
      <w:r>
        <w:rPr>
          <w:sz w:val="22"/>
        </w:rPr>
        <w:t>Publish a listing of the normal and emergency voltage limits that the ERCOT Operations personnel will utilize to make voltage related congestion decisions.</w:t>
      </w:r>
    </w:p>
    <w:p>
      <w:pPr>
        <w:pStyle w:val="Heading2"/>
        <w:numPr>
          <w:ilvl w:val="0"/>
          <w:numId w:val="3"/>
        </w:numPr>
        <w:jc w:val="both"/>
        <w:rPr>
          <w:sz w:val="22"/>
        </w:rPr>
      </w:pPr>
      <w:r>
        <w:rPr>
          <w:sz w:val="22"/>
        </w:rPr>
        <w:t>The intent of this request is to inform all market participants of the low voltage thresholds that will be utilized when determining transfer capability between the CSC congestion zones and for identifying local area voltage related congestion issues.</w:t>
      </w:r>
    </w:p>
    <w:p>
      <w:pPr>
        <w:pStyle w:val="Heading2"/>
        <w:ind w:hanging="0" w:start="0" w:end="0"/>
        <w:jc w:val="both"/>
        <w:rPr>
          <w:sz w:val="22"/>
        </w:rPr>
      </w:pPr>
      <w:r>
        <w:rPr>
          <w:sz w:val="22"/>
        </w:rPr>
      </w:r>
    </w:p>
    <w:p>
      <w:pPr>
        <w:pStyle w:val="Heading1"/>
        <w:ind w:hanging="0" w:start="0"/>
        <w:jc w:val="both"/>
        <w:rPr>
          <w:sz w:val="22"/>
        </w:rPr>
      </w:pPr>
      <w:r>
        <w:rPr>
          <w:sz w:val="22"/>
        </w:rPr>
        <w:t>Request #3</w:t>
      </w:r>
    </w:p>
    <w:p>
      <w:pPr>
        <w:pStyle w:val="Heading2"/>
        <w:numPr>
          <w:ilvl w:val="0"/>
          <w:numId w:val="3"/>
        </w:numPr>
        <w:jc w:val="both"/>
        <w:rPr>
          <w:sz w:val="22"/>
        </w:rPr>
      </w:pPr>
      <w:r>
        <w:rPr>
          <w:sz w:val="22"/>
        </w:rPr>
        <w:t>Publish a listing of all the Special Protection Schemes (SPSs) and Remedial Action Plans (RAPs) that are being used, or are planned to be used, in ERCOT.</w:t>
      </w:r>
    </w:p>
    <w:p>
      <w:pPr>
        <w:pStyle w:val="Heading2"/>
        <w:numPr>
          <w:ilvl w:val="0"/>
          <w:numId w:val="3"/>
        </w:numPr>
        <w:jc w:val="both"/>
        <w:rPr>
          <w:sz w:val="22"/>
        </w:rPr>
      </w:pPr>
      <w:r>
        <w:rPr>
          <w:sz w:val="22"/>
        </w:rPr>
        <w:t>Sufficient information such that the implementation date and deactivation date of each SPS and RAP should be specified so that it will be possible for the user to determine in which future year cases the schemes are applicable.</w:t>
      </w:r>
    </w:p>
    <w:p>
      <w:pPr>
        <w:pStyle w:val="Heading1"/>
        <w:ind w:hanging="0" w:start="0"/>
        <w:jc w:val="both"/>
        <w:rPr>
          <w:sz w:val="22"/>
        </w:rPr>
      </w:pPr>
      <w:r>
        <w:rPr>
          <w:sz w:val="22"/>
        </w:rPr>
        <w:t>Request # 4</w:t>
      </w:r>
    </w:p>
    <w:p>
      <w:pPr>
        <w:pStyle w:val="Heading2"/>
        <w:numPr>
          <w:ilvl w:val="0"/>
          <w:numId w:val="3"/>
        </w:numPr>
        <w:jc w:val="both"/>
        <w:rPr>
          <w:sz w:val="22"/>
        </w:rPr>
      </w:pPr>
      <w:r>
        <w:rPr>
          <w:sz w:val="22"/>
        </w:rPr>
        <w:t>Provide a listing of all double-circuit lines, by SSTF bus numbers, that are greater than 0.5 miles (as defined by the ERCOT planning criteria) that will be used during planning studies.  The list need only include the most limiting sections of a double-circuit line outages and not all of the intermediate sections.</w:t>
      </w:r>
    </w:p>
    <w:p>
      <w:pPr>
        <w:pStyle w:val="Heading2"/>
        <w:numPr>
          <w:ilvl w:val="0"/>
          <w:numId w:val="3"/>
        </w:numPr>
        <w:jc w:val="both"/>
        <w:rPr>
          <w:sz w:val="22"/>
        </w:rPr>
      </w:pPr>
      <w:r>
        <w:rPr>
          <w:sz w:val="22"/>
        </w:rPr>
        <w:t>Provide an official “good weather” and “bad weather” contingency file, by SSTF bus number, that will be used for all operational studies.</w:t>
      </w:r>
    </w:p>
    <w:p>
      <w:pPr>
        <w:pStyle w:val="Heading1"/>
        <w:ind w:hanging="0" w:start="0"/>
        <w:jc w:val="both"/>
        <w:rPr>
          <w:sz w:val="22"/>
        </w:rPr>
      </w:pPr>
      <w:r>
        <w:rPr>
          <w:sz w:val="22"/>
        </w:rPr>
        <w:t>Request #5</w:t>
      </w:r>
    </w:p>
    <w:p>
      <w:pPr>
        <w:pStyle w:val="Heading2"/>
        <w:numPr>
          <w:ilvl w:val="0"/>
          <w:numId w:val="3"/>
        </w:numPr>
        <w:jc w:val="both"/>
        <w:rPr>
          <w:sz w:val="22"/>
        </w:rPr>
      </w:pPr>
      <w:r>
        <w:rPr>
          <w:sz w:val="22"/>
        </w:rPr>
        <w:t>Provide a listing by SSTF load flow bus number of all special contingencies that should be included in power flow contingency studies to reflect the actual response of relay protection and sectionalizing facilities in place that constitute a single element outage.</w:t>
      </w:r>
    </w:p>
    <w:p>
      <w:pPr>
        <w:pStyle w:val="Heading2"/>
        <w:numPr>
          <w:ilvl w:val="0"/>
          <w:numId w:val="3"/>
        </w:numPr>
        <w:jc w:val="both"/>
        <w:rPr>
          <w:sz w:val="22"/>
        </w:rPr>
      </w:pPr>
      <w:r>
        <w:rPr>
          <w:sz w:val="22"/>
        </w:rPr>
        <w:t>This is necessary since the relay operations and sectionalizing often require the removal of multiple power flow branches simultaneously to simulate a NERC single contingency outage in power flow programs.</w:t>
      </w:r>
    </w:p>
    <w:p>
      <w:pPr>
        <w:pStyle w:val="Heading1"/>
        <w:ind w:hanging="0" w:start="0"/>
        <w:jc w:val="both"/>
        <w:rPr>
          <w:sz w:val="22"/>
        </w:rPr>
      </w:pPr>
      <w:r>
        <w:rPr>
          <w:sz w:val="22"/>
        </w:rPr>
      </w:r>
    </w:p>
    <w:p>
      <w:pPr>
        <w:pStyle w:val="Heading2"/>
        <w:ind w:hanging="0" w:start="0" w:end="0"/>
        <w:jc w:val="both"/>
        <w:rPr>
          <w:sz w:val="22"/>
        </w:rPr>
      </w:pPr>
      <w:r>
        <w:rPr>
          <w:sz w:val="22"/>
        </w:rPr>
        <w:t>The following requests (#6 - #7), represent information that is needed by all market participants to better understand the planned expansion of the transmission system as detailed in the dataset A &amp; B cases.</w:t>
      </w:r>
    </w:p>
    <w:p>
      <w:pPr>
        <w:pStyle w:val="Heading7"/>
        <w:ind w:hanging="0" w:start="0"/>
        <w:jc w:val="both"/>
        <w:rPr>
          <w:sz w:val="22"/>
        </w:rPr>
      </w:pPr>
      <w:r>
        <w:rPr>
          <w:sz w:val="22"/>
        </w:rPr>
        <w:t>Request # 6</w:t>
      </w:r>
    </w:p>
    <w:p>
      <w:pPr>
        <w:pStyle w:val="Heading2"/>
        <w:numPr>
          <w:ilvl w:val="0"/>
          <w:numId w:val="4"/>
        </w:numPr>
        <w:jc w:val="both"/>
        <w:rPr>
          <w:sz w:val="22"/>
        </w:rPr>
      </w:pPr>
      <w:r>
        <w:rPr>
          <w:sz w:val="22"/>
        </w:rPr>
        <w:t>Publish an annual transmission plan document that is posted on the ERCOT website which graphically and verbally illustrates the electrical connectivity (i.e. one-line representation) and proposed in-service date of all projects.</w:t>
      </w:r>
    </w:p>
    <w:p>
      <w:pPr>
        <w:pStyle w:val="Heading1"/>
        <w:ind w:hanging="0" w:start="0"/>
        <w:jc w:val="both"/>
        <w:rPr>
          <w:sz w:val="22"/>
        </w:rPr>
      </w:pPr>
      <w:r>
        <w:rPr>
          <w:sz w:val="22"/>
        </w:rPr>
        <w:t>Request #7</w:t>
      </w:r>
    </w:p>
    <w:p>
      <w:pPr>
        <w:pStyle w:val="Heading2"/>
        <w:numPr>
          <w:ilvl w:val="0"/>
          <w:numId w:val="5"/>
        </w:numPr>
        <w:jc w:val="both"/>
        <w:rPr>
          <w:sz w:val="22"/>
        </w:rPr>
      </w:pPr>
      <w:r>
        <w:rPr>
          <w:sz w:val="22"/>
        </w:rPr>
        <w:t xml:space="preserve">Provide a project status report that is updated periodically and documents timing and scope changes to the transmission plan document that is posted annually.  </w:t>
      </w:r>
    </w:p>
    <w:p>
      <w:pPr>
        <w:pStyle w:val="Heading1"/>
        <w:ind w:hanging="0" w:start="0"/>
        <w:jc w:val="both"/>
        <w:rPr>
          <w:sz w:val="22"/>
        </w:rPr>
      </w:pPr>
      <w:r>
        <w:rPr>
          <w:sz w:val="22"/>
        </w:rPr>
      </w:r>
    </w:p>
    <w:p>
      <w:pPr>
        <w:pStyle w:val="Heading1"/>
        <w:ind w:hanging="0" w:start="0"/>
        <w:jc w:val="both"/>
        <w:rPr>
          <w:sz w:val="22"/>
        </w:rPr>
      </w:pPr>
      <w:r>
        <w:rPr>
          <w:sz w:val="22"/>
        </w:rPr>
        <w:t>Conclusions</w:t>
      </w:r>
    </w:p>
    <w:p>
      <w:pPr>
        <w:pStyle w:val="Heading2"/>
        <w:numPr>
          <w:ilvl w:val="0"/>
          <w:numId w:val="6"/>
        </w:numPr>
        <w:jc w:val="both"/>
        <w:rPr>
          <w:sz w:val="22"/>
        </w:rPr>
      </w:pPr>
      <w:r>
        <w:rPr>
          <w:sz w:val="22"/>
        </w:rPr>
        <w:t>Section 7 of the ERCOT Protocols provides for the creation of TCRs to hedge against transmission congestion.</w:t>
      </w:r>
    </w:p>
    <w:p>
      <w:pPr>
        <w:pStyle w:val="Heading2"/>
        <w:numPr>
          <w:ilvl w:val="0"/>
          <w:numId w:val="6"/>
        </w:numPr>
        <w:jc w:val="both"/>
        <w:rPr>
          <w:sz w:val="22"/>
        </w:rPr>
      </w:pPr>
      <w:r>
        <w:rPr>
          <w:sz w:val="22"/>
        </w:rPr>
        <w:t xml:space="preserve">The only way for market participants to objectively determine the value of future TCRs, is to utilize </w:t>
      </w:r>
      <w:r>
        <w:rPr>
          <w:sz w:val="22"/>
          <w:u w:val="single"/>
        </w:rPr>
        <w:t>exactly</w:t>
      </w:r>
      <w:r>
        <w:rPr>
          <w:sz w:val="22"/>
        </w:rPr>
        <w:t xml:space="preserve"> the same study criteria that ERCOT and the TDSPs will be using to study system conditions.</w:t>
      </w:r>
    </w:p>
    <w:p>
      <w:pPr>
        <w:pStyle w:val="Heading2"/>
        <w:numPr>
          <w:ilvl w:val="0"/>
          <w:numId w:val="6"/>
        </w:numPr>
        <w:jc w:val="both"/>
        <w:rPr>
          <w:sz w:val="22"/>
        </w:rPr>
      </w:pPr>
      <w:r>
        <w:rPr>
          <w:sz w:val="22"/>
        </w:rPr>
        <w:t>This series of requests seeks to make comparable studies possible for all market participants.</w:t>
      </w:r>
    </w:p>
    <w:p>
      <w:pPr>
        <w:pStyle w:val="Heading2"/>
        <w:numPr>
          <w:ilvl w:val="0"/>
          <w:numId w:val="6"/>
        </w:numPr>
        <w:jc w:val="both"/>
        <w:rPr>
          <w:sz w:val="22"/>
        </w:rPr>
      </w:pPr>
      <w:r>
        <w:rPr>
          <w:sz w:val="22"/>
        </w:rPr>
        <w:t>They will provide information related to the regulated aspects of TCR valuation studies to all market participants in a non-discriminatory manner.</w:t>
      </w:r>
    </w:p>
    <w:p>
      <w:pPr>
        <w:pStyle w:val="Heading2"/>
        <w:numPr>
          <w:ilvl w:val="0"/>
          <w:numId w:val="6"/>
        </w:numPr>
        <w:jc w:val="both"/>
        <w:rPr>
          <w:sz w:val="22"/>
        </w:rPr>
      </w:pPr>
      <w:r>
        <w:rPr>
          <w:sz w:val="22"/>
        </w:rPr>
        <w:t>It is in the best interest of future system reliability for the specifics of how the grid will be studied, to be broadly known.</w:t>
      </w:r>
    </w:p>
    <w:p>
      <w:pPr>
        <w:pStyle w:val="Heading2"/>
        <w:numPr>
          <w:ilvl w:val="0"/>
          <w:numId w:val="6"/>
        </w:numPr>
        <w:jc w:val="both"/>
        <w:rPr>
          <w:sz w:val="22"/>
        </w:rPr>
      </w:pPr>
      <w:r>
        <w:rPr>
          <w:sz w:val="22"/>
        </w:rPr>
        <w:t>Currently, all market participants must speculate on how ERCOT and the TDSPs will interpret the NERC planning and operating criteria.</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0"/>
        </w:tabs>
        <w:ind w:start="0" w:hanging="0"/>
      </w:pPr>
      <w:rPr>
        <w:rFonts w:ascii="Times New Roman" w:hAnsi="Times New Roman" w:cs="Times New Roman" w:hint="default"/>
        <w:sz w:val="32"/>
      </w:rPr>
    </w:lvl>
  </w:abstractNum>
  <w:abstractNum w:abstractNumId="3">
    <w:lvl w:ilvl="0">
      <w:numFmt w:val="bullet"/>
      <w:lvlText w:val="•"/>
      <w:lvlJc w:val="start"/>
      <w:pPr>
        <w:tabs>
          <w:tab w:val="num" w:pos="0"/>
        </w:tabs>
        <w:ind w:start="0" w:hanging="0"/>
      </w:pPr>
      <w:rPr>
        <w:rFonts w:ascii="Times New Roman" w:hAnsi="Times New Roman" w:cs="Times New Roman" w:hint="default"/>
        <w:sz w:val="24"/>
      </w:rPr>
    </w:lvl>
  </w:abstractNum>
  <w:abstractNum w:abstractNumId="4">
    <w:lvl w:ilvl="0">
      <w:numFmt w:val="bullet"/>
      <w:lvlText w:val="•"/>
      <w:lvlJc w:val="start"/>
      <w:pPr>
        <w:tabs>
          <w:tab w:val="num" w:pos="0"/>
        </w:tabs>
        <w:ind w:start="0" w:hanging="0"/>
      </w:pPr>
      <w:rPr>
        <w:rFonts w:ascii="Helv" w:hAnsi="Helv" w:cs="Helv" w:hint="default"/>
        <w:sz w:val="22"/>
      </w:rPr>
    </w:lvl>
  </w:abstractNum>
  <w:abstractNum w:abstractNumId="5">
    <w:lvl w:ilvl="0">
      <w:numFmt w:val="bullet"/>
      <w:lvlText w:val="•"/>
      <w:lvlJc w:val="start"/>
      <w:pPr>
        <w:tabs>
          <w:tab w:val="num" w:pos="0"/>
        </w:tabs>
        <w:ind w:start="0" w:hanging="0"/>
      </w:pPr>
      <w:rPr>
        <w:rFonts w:ascii="Helv" w:hAnsi="Helv" w:cs="Helv" w:hint="default"/>
        <w:sz w:val="24"/>
      </w:rPr>
    </w:lvl>
  </w:abstractNum>
  <w:abstractNum w:abstractNumId="6">
    <w:lvl w:ilvl="0">
      <w:numFmt w:val="bullet"/>
      <w:lvlText w:val="•"/>
      <w:lvlJc w:val="start"/>
      <w:pPr>
        <w:tabs>
          <w:tab w:val="num" w:pos="0"/>
        </w:tabs>
        <w:ind w:start="0" w:hanging="0"/>
      </w:pPr>
      <w:rPr>
        <w:rFonts w:ascii="Times New Roman" w:hAnsi="Times New Roman" w:cs="Times New Roman" w:hint="default"/>
        <w:sz w:val="28"/>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widowControl w:val="false"/>
      <w:numPr>
        <w:ilvl w:val="0"/>
        <w:numId w:val="1"/>
      </w:numPr>
      <w:jc w:val="center"/>
      <w:outlineLvl w:val="0"/>
    </w:pPr>
    <w:rPr>
      <w:sz w:val="44"/>
      <w:lang w:eastAsia="en-US"/>
    </w:rPr>
  </w:style>
  <w:style w:type="paragraph" w:styleId="Heading2">
    <w:name w:val="heading 2"/>
    <w:basedOn w:val="Normal"/>
    <w:next w:val="Normal"/>
    <w:qFormat/>
    <w:pPr>
      <w:widowControl w:val="false"/>
      <w:numPr>
        <w:ilvl w:val="1"/>
        <w:numId w:val="1"/>
      </w:numPr>
      <w:ind w:hanging="270" w:start="270" w:end="0"/>
      <w:outlineLvl w:val="1"/>
    </w:pPr>
    <w:rPr>
      <w:sz w:val="32"/>
      <w:lang w:eastAsia="en-US"/>
    </w:rPr>
  </w:style>
  <w:style w:type="paragraph" w:styleId="Heading3">
    <w:name w:val="heading 3"/>
    <w:basedOn w:val="Normal"/>
    <w:next w:val="Normal"/>
    <w:qFormat/>
    <w:pPr>
      <w:widowControl w:val="false"/>
      <w:numPr>
        <w:ilvl w:val="2"/>
        <w:numId w:val="1"/>
      </w:numPr>
      <w:ind w:hanging="225" w:start="585" w:end="0"/>
      <w:outlineLvl w:val="2"/>
    </w:pPr>
    <w:rPr>
      <w:sz w:val="28"/>
      <w:lang w:eastAsia="en-US"/>
    </w:rPr>
  </w:style>
  <w:style w:type="paragraph" w:styleId="Heading4">
    <w:name w:val="heading 4"/>
    <w:basedOn w:val="Normal"/>
    <w:next w:val="Normal"/>
    <w:qFormat/>
    <w:pPr>
      <w:widowControl w:val="false"/>
      <w:numPr>
        <w:ilvl w:val="3"/>
        <w:numId w:val="1"/>
      </w:numPr>
      <w:ind w:hanging="180" w:start="900" w:end="0"/>
      <w:outlineLvl w:val="3"/>
    </w:pPr>
    <w:rPr>
      <w:sz w:val="24"/>
      <w:lang w:eastAsia="en-US"/>
    </w:rPr>
  </w:style>
  <w:style w:type="paragraph" w:styleId="Heading5">
    <w:name w:val="heading 5"/>
    <w:basedOn w:val="Normal"/>
    <w:next w:val="Normal"/>
    <w:qFormat/>
    <w:pPr>
      <w:widowControl w:val="false"/>
      <w:numPr>
        <w:ilvl w:val="4"/>
        <w:numId w:val="1"/>
      </w:numPr>
      <w:ind w:hanging="180" w:start="1260" w:end="0"/>
      <w:outlineLvl w:val="4"/>
    </w:pPr>
    <w:rPr>
      <w:lang w:eastAsia="en-US"/>
    </w:rPr>
  </w:style>
  <w:style w:type="paragraph" w:styleId="Heading6">
    <w:name w:val="heading 6"/>
    <w:basedOn w:val="Normal"/>
    <w:next w:val="Normal"/>
    <w:qFormat/>
    <w:pPr>
      <w:widowControl w:val="false"/>
      <w:numPr>
        <w:ilvl w:val="5"/>
        <w:numId w:val="1"/>
      </w:numPr>
      <w:ind w:hanging="180" w:start="1620" w:end="0"/>
      <w:outlineLvl w:val="5"/>
    </w:pPr>
    <w:rPr>
      <w:lang w:eastAsia="en-US"/>
    </w:rPr>
  </w:style>
  <w:style w:type="paragraph" w:styleId="Heading7">
    <w:name w:val="heading 7"/>
    <w:basedOn w:val="Normal"/>
    <w:next w:val="Normal"/>
    <w:qFormat/>
    <w:pPr>
      <w:keepNext w:val="true"/>
      <w:numPr>
        <w:ilvl w:val="6"/>
        <w:numId w:val="1"/>
      </w:numPr>
      <w:jc w:val="center"/>
      <w:outlineLvl w:val="6"/>
    </w:pPr>
    <w:rPr>
      <w:sz w:val="24"/>
    </w:rPr>
  </w:style>
  <w:style w:type="character" w:styleId="WW8Num2z0">
    <w:name w:val="WW8Num2z0"/>
    <w:qFormat/>
    <w:rPr>
      <w:rFonts w:ascii="Times New Roman" w:hAnsi="Times New Roman" w:cs="Times New Roman"/>
      <w:sz w:val="24"/>
    </w:rPr>
  </w:style>
  <w:style w:type="character" w:styleId="WW8NumSt1z0">
    <w:name w:val="WW8NumSt1z0"/>
    <w:qFormat/>
    <w:rPr>
      <w:rFonts w:ascii="Times New Roman" w:hAnsi="Times New Roman" w:cs="Times New Roman"/>
      <w:sz w:val="32"/>
    </w:rPr>
  </w:style>
  <w:style w:type="character" w:styleId="WW8NumSt2z0">
    <w:name w:val="WW8NumSt2z0"/>
    <w:qFormat/>
    <w:rPr>
      <w:rFonts w:ascii="Times New Roman" w:hAnsi="Times New Roman" w:cs="Times New Roman"/>
      <w:sz w:val="24"/>
    </w:rPr>
  </w:style>
  <w:style w:type="character" w:styleId="WW8NumSt3z0">
    <w:name w:val="WW8NumSt3z0"/>
    <w:qFormat/>
    <w:rPr>
      <w:rFonts w:ascii="Times New Roman" w:hAnsi="Times New Roman" w:cs="Times New Roman"/>
      <w:sz w:val="18"/>
    </w:rPr>
  </w:style>
  <w:style w:type="character" w:styleId="WW8NumSt4z0">
    <w:name w:val="WW8NumSt4z0"/>
    <w:qFormat/>
    <w:rPr>
      <w:rFonts w:ascii="Times New Roman" w:hAnsi="Times New Roman" w:cs="Times New Roman"/>
      <w:sz w:val="16"/>
    </w:rPr>
  </w:style>
  <w:style w:type="character" w:styleId="WW8NumSt5z0">
    <w:name w:val="WW8NumSt5z0"/>
    <w:qFormat/>
    <w:rPr>
      <w:rFonts w:ascii="Helv" w:hAnsi="Helv" w:cs="Helv"/>
      <w:sz w:val="22"/>
    </w:rPr>
  </w:style>
  <w:style w:type="character" w:styleId="WW8NumSt6z0">
    <w:name w:val="WW8NumSt6z0"/>
    <w:qFormat/>
    <w:rPr>
      <w:rFonts w:ascii="Helv" w:hAnsi="Helv" w:cs="Helv"/>
      <w:sz w:val="24"/>
    </w:rPr>
  </w:style>
  <w:style w:type="character" w:styleId="WW8NumSt7z0">
    <w:name w:val="WW8NumSt7z0"/>
    <w:qFormat/>
    <w:rPr>
      <w:rFonts w:ascii="Times New Roman" w:hAnsi="Times New Roman" w:cs="Times New Roman"/>
      <w:sz w:val="2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2001-04-18T11:09:00Z</dcterms:created>
  <dc:creator>LAA8</dc:creator>
  <dc:description/>
  <dc:language>en-CA</dc:language>
  <cp:lastModifiedBy>LAA8</cp:lastModifiedBy>
  <cp:lastPrinted>2001-04-18T11:07:00Z</cp:lastPrinted>
  <dcterms:modified xsi:type="dcterms:W3CDTF">2001-04-18T13:44:00Z</dcterms:modified>
  <cp:revision>7</cp:revision>
  <dc:subject/>
  <dc:title>Information Needed By All Market Participants To Facilitate Transmission Congestion Studies In ERCOT</dc:title>
</cp:coreProperties>
</file>