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tabs>
          <w:tab w:val="clear" w:pos="720"/>
          <w:tab w:val="right" w:pos="11070" w:leader="none"/>
        </w:tabs>
        <w:rPr/>
      </w:pPr>
      <w:r>
        <w:rPr>
          <w:rFonts w:cs="Arial" w:ascii="Arial" w:hAnsi="Arial"/>
          <w:sz w:val="16"/>
        </w:rPr>
        <w:t>STATE OF CALIFORNIA                                                                                                                                 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ind w:hanging="3600" w:start="3600" w:end="0"/>
        <w:rPr/>
      </w:pPr>
      <w:r>
        <w:rPr/>
        <w:t>June 15, 2001</w:t>
        <w:tab/>
        <w:tab/>
        <w:tab/>
        <w:tab/>
        <w:tab/>
      </w:r>
      <w:r>
        <w:rPr>
          <w:b/>
          <w:sz w:val="32"/>
        </w:rPr>
        <w:t>Items H-26 &amp; H-26a</w:t>
      </w:r>
    </w:p>
    <w:p>
      <w:pPr>
        <w:pStyle w:val="Normal"/>
        <w:rPr>
          <w:b/>
          <w:sz w:val="32"/>
        </w:rPr>
      </w:pPr>
      <w:r>
        <w:rPr>
          <w:b/>
          <w:sz w:val="32"/>
        </w:rPr>
        <w:tab/>
        <w:tab/>
        <w:tab/>
        <w:tab/>
        <w:tab/>
        <w:tab/>
        <w:tab/>
        <w:tab/>
        <w:tab/>
        <w:tab/>
        <w:t xml:space="preserve">    6/28/2001</w:t>
      </w:r>
    </w:p>
    <w:p>
      <w:pPr>
        <w:pStyle w:val="Normal"/>
        <w:rPr/>
      </w:pPr>
      <w:r>
        <w:rPr/>
      </w:r>
    </w:p>
    <w:p>
      <w:pPr>
        <w:pStyle w:val="Normal"/>
        <w:rPr/>
      </w:pPr>
      <w:r>
        <w:rPr/>
        <w:t>TO:  PARTIES OF RECORD IN APPLICATION 98-07-003 ET AL.</w:t>
      </w:r>
    </w:p>
    <w:p>
      <w:pPr>
        <w:pStyle w:val="Normal"/>
        <w:rPr/>
      </w:pPr>
      <w:r>
        <w:rPr/>
      </w:r>
    </w:p>
    <w:p>
      <w:pPr>
        <w:pStyle w:val="Normal"/>
        <w:rPr/>
      </w:pPr>
      <w:r>
        <w:rPr/>
        <w:t>This is the draft decision of Administrative Law Judge (ALJ) Barnett and alternate draft decision of Commissioner Bilas.  It will be on the Commission’s agenda at the meeting on June 28, 2001.  The Commission may act then, or it may postpone action until later.</w:t>
      </w:r>
    </w:p>
    <w:p>
      <w:pPr>
        <w:pStyle w:val="Normal"/>
        <w:rPr/>
      </w:pPr>
      <w:r>
        <w:rPr/>
      </w:r>
    </w:p>
    <w:p>
      <w:pPr>
        <w:pStyle w:val="Normal"/>
        <w:rPr/>
      </w:pPr>
      <w:r>
        <w:rPr/>
        <w:t>When the Commission acts on these items, it may adopt all or part of it as written, amend or modify it, or set it aside and prepare its own decision.  Only when the Commission acts does the decision become binding on the parties.</w:t>
      </w:r>
    </w:p>
    <w:p>
      <w:pPr>
        <w:pStyle w:val="Normal"/>
        <w:rPr/>
      </w:pPr>
      <w:r>
        <w:rPr/>
      </w:r>
    </w:p>
    <w:p>
      <w:pPr>
        <w:pStyle w:val="BodyText"/>
        <w:rPr/>
      </w:pPr>
      <w:r>
        <w:rPr/>
        <w:t xml:space="preserve">As noted in the draft decision, pursuant to Rule 77.7(f)(9), comments on the draft decision of the ALJ must be filed within 10 days of its mailing and </w:t>
      </w:r>
      <w:r>
        <w:rPr>
          <w:u w:val="single"/>
        </w:rPr>
        <w:t>no reply comments will be accepted</w:t>
      </w:r>
      <w:r>
        <w:rPr/>
        <w:t>.  Pursuant to Rule 77.7(f)(9), comments on the alternate draft decision must be filed within nine days of its mailing and reply comments filed by noon, June 27, 2001, will be permitted.</w:t>
      </w:r>
    </w:p>
    <w:p>
      <w:pPr>
        <w:pStyle w:val="Normal"/>
        <w:rPr/>
      </w:pPr>
      <w:r>
        <w:rPr/>
      </w:r>
    </w:p>
    <w:p>
      <w:pPr>
        <w:pStyle w:val="Normal"/>
        <w:rPr/>
      </w:pPr>
      <w:r>
        <w:rPr/>
        <w:t xml:space="preserve">In addition to service by mail, parties should send comments in electronic form to those appearances and the state service list that provided an electronic mail address to the Commission, including ALJ Barnett at </w:t>
      </w:r>
      <w:hyperlink r:id="rId3">
        <w:r>
          <w:rPr>
            <w:rStyle w:val="Hyperlink"/>
          </w:rPr>
          <w:t>rab@cpuc.ca.gov</w:t>
        </w:r>
      </w:hyperlink>
      <w:r>
        <w:rPr/>
        <w:t xml:space="preserve">, Ann Watson at </w:t>
      </w:r>
      <w:hyperlink r:id="rId4">
        <w:r>
          <w:rPr>
            <w:rStyle w:val="Hyperlink"/>
          </w:rPr>
          <w:t>anw@cpuc.ca.gov</w:t>
        </w:r>
      </w:hyperlink>
      <w:r>
        <w:rPr/>
        <w:t xml:space="preserve"> and Linda Serizawa at </w:t>
      </w:r>
      <w:r>
        <w:rPr>
          <w:u w:val="single"/>
        </w:rPr>
        <w:t>lss@cpuc.ca.gov</w:t>
      </w:r>
      <w:r>
        <w:rPr/>
        <w:t>.  Finally, comments must be served separately on the Assigned Commissioner, and for that purpose I suggest hand delivery, overnight mail, or other expeditious methods of service.</w:t>
      </w:r>
    </w:p>
    <w:p>
      <w:pPr>
        <w:pStyle w:val="Normal"/>
        <w:rPr>
          <w:sz w:val="24"/>
        </w:rPr>
      </w:pPr>
      <w:r>
        <w:rPr>
          <w:sz w:val="24"/>
        </w:rPr>
      </w:r>
    </w:p>
    <w:p>
      <w:pPr>
        <w:pStyle w:val="Normal"/>
        <w:rPr>
          <w:sz w:val="24"/>
          <w:u w:val="single"/>
        </w:rPr>
      </w:pPr>
      <w:r>
        <w:rPr>
          <w:sz w:val="24"/>
          <w:u w:val="single"/>
        </w:rPr>
        <w:t>/s/  LYNN T. CAREW</w:t>
      </w:r>
    </w:p>
    <w:p>
      <w:pPr>
        <w:pStyle w:val="Normal"/>
        <w:rPr/>
      </w:pPr>
      <w:r>
        <w:rPr/>
        <w:t>Lynn T. Carew, Chief</w:t>
      </w:r>
    </w:p>
    <w:p>
      <w:pPr>
        <w:pStyle w:val="Normal"/>
        <w:rPr/>
      </w:pPr>
      <w:r>
        <w:rPr/>
        <w:t>Administrative Law Judge</w:t>
      </w:r>
    </w:p>
    <w:p>
      <w:pPr>
        <w:pStyle w:val="Normal"/>
        <w:rPr/>
      </w:pPr>
      <w:r>
        <w:rPr/>
      </w:r>
    </w:p>
    <w:p>
      <w:pPr>
        <w:pStyle w:val="Normal"/>
        <w:rPr/>
      </w:pPr>
      <w:r>
        <w:rPr/>
        <w:t>LTC:sid</w:t>
      </w:r>
    </w:p>
    <w:p>
      <w:pPr>
        <w:pStyle w:val="Normal"/>
        <w:rPr/>
      </w:pPr>
      <w:r>
        <w:rPr/>
      </w:r>
    </w:p>
    <w:p>
      <w:pPr>
        <w:sectPr>
          <w:headerReference w:type="default" r:id="rId5"/>
          <w:headerReference w:type="first" r:id="rId6"/>
          <w:footerReference w:type="default" r:id="rId7"/>
          <w:footerReference w:type="first" r:id="rId8"/>
          <w:type w:val="nextPage"/>
          <w:pgSz w:w="12240" w:h="15840"/>
          <w:pgMar w:left="1440" w:right="1440" w:gutter="0" w:header="720" w:top="1152" w:footer="720" w:bottom="1440"/>
          <w:pgNumType w:fmt="decimal"/>
          <w:formProt w:val="false"/>
          <w:titlePg/>
          <w:textDirection w:val="lrTb"/>
          <w:docGrid w:type="default" w:linePitch="360" w:charSpace="0"/>
        </w:sectPr>
        <w:pStyle w:val="Normal"/>
        <w:rPr/>
      </w:pPr>
      <w:r>
        <w:rPr/>
        <w:t>Attachments</w:t>
      </w:r>
    </w:p>
    <w:p>
      <w:pPr>
        <w:pStyle w:val="Header"/>
        <w:rPr/>
      </w:pPr>
      <w:r>
        <w:rPr/>
        <w:t>ALJ/RAB/sid</w:t>
        <w:tab/>
      </w:r>
      <w:r>
        <w:rPr>
          <w:rFonts w:cs="HELVETICA" w:ascii="HELVETICA" w:hAnsi="HELVETICA"/>
          <w:b/>
          <w:sz w:val="36"/>
        </w:rPr>
        <w:t>DRAFT</w:t>
      </w:r>
      <w:r>
        <w:rPr/>
        <w:tab/>
        <w:t>H-26</w:t>
      </w:r>
    </w:p>
    <w:p>
      <w:pPr>
        <w:pStyle w:val="Header"/>
        <w:rPr/>
      </w:pPr>
      <w:r>
        <w:rPr/>
        <w:tab/>
        <w:tab/>
        <w:t>6/28/2001</w:t>
      </w:r>
    </w:p>
    <w:p>
      <w:pPr>
        <w:pStyle w:val="Normal"/>
        <w:rPr/>
      </w:pPr>
      <w:r>
        <w:rPr/>
      </w:r>
    </w:p>
    <w:p>
      <w:pPr>
        <w:pStyle w:val="Header"/>
        <w:widowControl/>
        <w:tabs>
          <w:tab w:val="clear" w:pos="4320"/>
          <w:tab w:val="right" w:pos="9360" w:leader="none"/>
        </w:tabs>
        <w:rPr/>
      </w:pPr>
      <w:r>
        <w:rPr/>
        <w:t xml:space="preserve">Decision </w:t>
      </w:r>
      <w:r>
        <w:rPr>
          <w:b/>
          <w:u w:val="single"/>
        </w:rPr>
        <w:t>DRAFT DECISION OF ALJ BARNETT</w:t>
      </w:r>
      <w:r>
        <w:rPr>
          <w:b/>
        </w:rPr>
        <w:t xml:space="preserve">  (Mailed 6/15/2001)</w:t>
      </w:r>
    </w:p>
    <w:p>
      <w:pPr>
        <w:pStyle w:val="Normal"/>
        <w:rPr/>
      </w:pPr>
      <w:r>
        <w:rPr/>
      </w:r>
    </w:p>
    <w:p>
      <w:pPr>
        <w:pStyle w:val="titlebar"/>
        <w:rPr>
          <w:sz w:val="24"/>
        </w:rPr>
      </w:pPr>
      <w:r>
        <w:rPr>
          <w:sz w:val="24"/>
        </w:rPr>
        <w:t>BEFORE THE PUBLIC UTILITIES COMMISSION OF THE STATE OF CALIFORNIA</w:t>
      </w:r>
    </w:p>
    <w:p>
      <w:pPr>
        <w:pStyle w:val="titlebar"/>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Application of Pacific Gas and Electric Company for verification, consolidation, and approval of costs and revenues in the transition revenue account.</w:t>
            </w:r>
          </w:p>
          <w:p>
            <w:pPr>
              <w:pStyle w:val="Normal"/>
              <w:rPr/>
            </w:pPr>
            <w:r>
              <w:rPr/>
            </w:r>
          </w:p>
        </w:tc>
        <w:tc>
          <w:tcPr>
            <w:tcW w:w="3600" w:type="dxa"/>
            <w:tcBorders/>
          </w:tcPr>
          <w:p>
            <w:pPr>
              <w:pStyle w:val="Normal"/>
              <w:snapToGrid w:val="false"/>
              <w:jc w:val="center"/>
              <w:rPr/>
            </w:pPr>
            <w:r>
              <w:rPr/>
            </w:r>
          </w:p>
          <w:p>
            <w:pPr>
              <w:pStyle w:val="Normal"/>
              <w:jc w:val="center"/>
              <w:rPr/>
            </w:pPr>
            <w:r>
              <w:rPr/>
              <w:t>Application 98-07-003</w:t>
            </w:r>
          </w:p>
          <w:p>
            <w:pPr>
              <w:pStyle w:val="Normal"/>
              <w:jc w:val="center"/>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98-07-006</w:t>
            </w:r>
          </w:p>
          <w:p>
            <w:pPr>
              <w:pStyle w:val="Normal"/>
              <w:jc w:val="center"/>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98-07-026</w:t>
            </w:r>
          </w:p>
          <w:p>
            <w:pPr>
              <w:pStyle w:val="Normal"/>
              <w:jc w:val="center"/>
              <w:rPr/>
            </w:pPr>
            <w:r>
              <w:rPr/>
              <w:t>(Filed July 1, 1998)</w:t>
            </w:r>
          </w:p>
        </w:tc>
      </w:tr>
    </w:tbl>
    <w:p>
      <w:pPr>
        <w:pStyle w:val="Normal"/>
        <w:suppressAutoHyphens w:val="true"/>
        <w:rPr/>
      </w:pPr>
      <w:r>
        <w:rPr/>
      </w:r>
      <w:r>
        <w:br w:type="page"/>
      </w:r>
    </w:p>
    <w:p>
      <w:pPr>
        <w:pStyle w:val="main"/>
        <w:rPr/>
      </w:pPr>
      <w:r>
        <w:rPr/>
      </w:r>
    </w:p>
    <w:p>
      <w:pPr>
        <w:pStyle w:val="main"/>
        <w:rPr/>
      </w:pPr>
      <w:r>
        <w:rPr/>
        <w:t>O P I N I O N</w:t>
      </w:r>
    </w:p>
    <w:p>
      <w:pPr>
        <w:pStyle w:val="Normal"/>
        <w:rPr/>
      </w:pPr>
      <w:r>
        <w:rPr/>
      </w:r>
    </w:p>
    <w:p>
      <w:pPr>
        <w:pStyle w:val="standard"/>
        <w:rPr/>
      </w:pPr>
      <w:r>
        <w:rPr/>
        <w:t>Pursuant to Rule 47 of the Rules of Practice and Procedure, Southern California Edison Company (SCE) requests review on an expedited basis and modification of Decision (D.) 99-06-058.  Specifically, SCE requests authorization to temporarily suspend payment of Power Exchange (PX) energy credits to energy service providers (ESPs) and direct access customers until a solution to the current energy crisis and SCE’s current liquidity crisis has been achieved.  SCE asserts that this temporary suspension is necessitated by the radical increase in the PX energy charge in recent months.  SCE says the dramatically inflated market rates that it must pay for electricity for its customers and its current financial crisis, require expeditious action.</w:t>
      </w:r>
    </w:p>
    <w:p>
      <w:pPr>
        <w:pStyle w:val="standard"/>
        <w:rPr/>
      </w:pPr>
      <w:r>
        <w:rPr/>
        <w:t>In the restructured electricity market in California, customers may subscribe to “bundled service” from the utility distribution company or “direct access” service from an ESP.  Customers who purchase bundled service from the utility pay a PX energy charge to cover the utility’s power supply costs.  For these bundled service customers, the customer’s total “bundled” bill (that is, a bill that includes charges for all utility services, including distribution and transmission charges), is capped at 1996 levels during the rate freeze period.  In other words, if the PX energy charge and transmission and distribution charges exceed the frozen rates, the customer does not pay the full PX energy charge but instead pays the capped rate.</w:t>
      </w:r>
      <w:r>
        <w:rPr>
          <w:rStyle w:val="FootnoteCharacters"/>
          <w:rStyle w:val="FootnoteReference"/>
        </w:rPr>
        <w:footnoteReference w:id="2"/>
      </w:r>
    </w:p>
    <w:p>
      <w:pPr>
        <w:pStyle w:val="standard"/>
        <w:rPr/>
      </w:pPr>
      <w:r>
        <w:rPr/>
        <w:t xml:space="preserve">Customers who elect direct access service currently receive a credit on their bills in the form of a PX energy credit.  This credit is intended to offset the energy costs included in the bundled rate.  There is no current cap on the amount of the PX energy credit given to direct access customers, </w:t>
      </w:r>
      <w:r>
        <w:rPr>
          <w:i/>
        </w:rPr>
        <w:t>i.e.</w:t>
      </w:r>
      <w:r>
        <w:rPr/>
        <w:t>, the credit is exactly equal to the PX energy charge.</w:t>
      </w:r>
    </w:p>
    <w:p>
      <w:pPr>
        <w:pStyle w:val="standard"/>
        <w:rPr/>
      </w:pPr>
      <w:r>
        <w:rPr/>
        <w:t>Prior to D.99-06-058, all three utilities’ tariffs provided that when a direct access customer’s PX energy credit exceeded the amount of the otherwise applicable bundled bill, the customer’s total utility charges would be equal to zero.  The customer would receive a “zero minimum bill” and the PX energy credit would be capped at the amount of transmission and distribution charges.  Thus, the customer would not receive a negative bill (and would not receive a refund or credit), even if the PX energy charge exceeded the total bill.  (D.99</w:t>
        <w:noBreakHyphen/>
        <w:t>06</w:t>
        <w:noBreakHyphen/>
        <w:t>058, at mimeo. 18-19.)</w:t>
      </w:r>
    </w:p>
    <w:p>
      <w:pPr>
        <w:pStyle w:val="standard"/>
        <w:rPr/>
      </w:pPr>
      <w:r>
        <w:rPr/>
        <w:t>The Commission approved this provision in Resolution E-3510, finding that the zero minimum bill was essentially approved by D.97-08-056.  (</w:t>
      </w:r>
      <w:r>
        <w:rPr>
          <w:i/>
        </w:rPr>
        <w:t>Id.</w:t>
      </w:r>
      <w:r>
        <w:rPr/>
        <w:t>, p. 20.) In Application (A.) 98-07-026 (the 1998 RAP proceeding), the Western Power Trading Forum (WPTF) proposed eliminating the zero minimum bill, arguing that it was a disincentive to direct access.  Pursuant to a compromise and stipulation between SCE, WPTF, and Enron, which was approved in D.99-06-058, the parties agreed to the elimination of the zero minimum bill provision of SCE’s tariffs so that direct access customers would start receiving credits for the entire negative amount of the bill.</w:t>
      </w:r>
      <w:r>
        <w:rPr>
          <w:rStyle w:val="FootnoteCharacters"/>
          <w:rStyle w:val="FootnoteReference"/>
        </w:rPr>
        <w:footnoteReference w:id="3"/>
      </w:r>
      <w:r>
        <w:rPr/>
        <w:t xml:space="preserve">  SCE interpreted the stipulation as requiring a cash payment when the credit exceeded the minimum bill.</w:t>
      </w:r>
    </w:p>
    <w:p>
      <w:pPr>
        <w:pStyle w:val="standard"/>
        <w:rPr/>
      </w:pPr>
      <w:r>
        <w:rPr/>
        <w:t>SCE states that due to the recent extremely high energy (PX) prices in California, direct access customers have been receiving large payments of PX energy credits for the past several months.</w:t>
      </w:r>
      <w:r>
        <w:rPr>
          <w:rStyle w:val="FootnoteCharacters"/>
          <w:rStyle w:val="FootnoteReference"/>
        </w:rPr>
        <w:footnoteReference w:id="4"/>
      </w:r>
      <w:r>
        <w:rPr/>
        <w:t xml:space="preserve">  These credit payments have been provided both directly to the direct access customer and to the ESP (who is then required to pass on any credits owing to the direct access customer), depending on the method of billing used to serve the direct access customer.  SCE states that due to its current financial condition, it simply cannot continue to sustain the payment of these PX energy credits.  SCE suspended payment of any PX energy credits January 5, 2001.  In January 2001, the PX ceased operations.</w:t>
      </w:r>
    </w:p>
    <w:p>
      <w:pPr>
        <w:pStyle w:val="standard"/>
        <w:rPr/>
      </w:pPr>
      <w:r>
        <w:rPr/>
        <w:t>Accordingly, SCE seeks modification of D.99-06-058 to temporarily suspend all PX energy credits to ESPs and direct access customers.  SCE proposes to continue to reflect the accumulated PX energy credits on the customer's bill, but will not send refund checks to these customers to the extent the total PX energy credits exceed other charges on the monthly bill.</w:t>
      </w:r>
      <w:r>
        <w:rPr>
          <w:rStyle w:val="FootnoteCharacters"/>
          <w:rStyle w:val="FootnoteReference"/>
        </w:rPr>
        <w:footnoteReference w:id="5"/>
      </w:r>
      <w:r>
        <w:rPr/>
        <w:t xml:space="preserve">  This temporary measure will enable SCE to concentrate its resources to continue to provide transmission and distribution services to all customers, rather than passing on credits to ESPs and their direct access customers.</w:t>
      </w:r>
    </w:p>
    <w:p>
      <w:pPr>
        <w:pStyle w:val="standard"/>
        <w:rPr/>
      </w:pPr>
      <w:r>
        <w:rPr/>
        <w:t>Enron Corp. (Enron) opposes SCE’s petition.  Enron states that suspension of the stipulation between SCE, WPTF, and Enron (approved in D.99-06-058) violates the stipulation.  (The stipulation is Appendix A.)  Further, Enron argues that SCE’s petition is so ambiguous that it is impossible to discern the extent to which SCE seeks to forego its obligation to pay PX energy credits.  In this regard, SCE requests that the following language be added as a modifier to the Commission’s approval of the stipulation:</w:t>
      </w:r>
    </w:p>
    <w:p>
      <w:pPr>
        <w:pStyle w:val="quote"/>
        <w:rPr/>
      </w:pPr>
      <w:r>
        <w:rPr/>
        <w:t>[F]rom the time period beginning January 5, 2001 and continuing until the date that a solution to the energy crisis is reached and Edison has recovered from its liquidity crisis, payments of PX Energy Credits to ESPs and direct access customers shall be suspended.</w:t>
      </w:r>
    </w:p>
    <w:p>
      <w:pPr>
        <w:pStyle w:val="standard"/>
        <w:ind w:hanging="0" w:end="0"/>
        <w:rPr/>
      </w:pPr>
      <w:r>
        <w:rPr/>
        <w:t>From this language, Enron believes it is not clear what SCE means by the term “suspended.”  Is it SCE’s intent to track the PX energy credits owed to direct access customers from January 5, 2001 forward and to pay the accumulated debt at a future time, or is it SCE’s intent to restart payment of PX energy credits at a future time, but not to pay the debt which has accumulated in the interim period?  Enron opposes any relief that disturbs the fundamental agreement expressed in the stipulation (i.e., SCE’s obligation to pay the totality of the PX energy credit) which was approved by the Commission.</w:t>
      </w:r>
    </w:p>
    <w:p>
      <w:pPr>
        <w:pStyle w:val="standard"/>
        <w:rPr/>
      </w:pPr>
      <w:r>
        <w:rPr/>
        <w:t>Additionally, argues Enron, regardless of the form the requested suspension takes, SCE is seeking to have such suspension of its obligation to make payments of the PX energy credits in place for an indefinite, unknown period of time.  Enron asks:  Who decides that a solution to the energy crisis has been reached?  Who determines that SCE has recovered from its liquidity crisis?  Such subjective criteria for determining when payments to direct access customers and ESPs will recommence places direct access customers and ESPs last in line to be paid by SCE.  Enron claims that ESPs cannot continue to shoulder this debt, which continues to grow, indefinitely.  New West Energy Corporation makes much the same argument.</w:t>
      </w:r>
    </w:p>
    <w:p>
      <w:pPr>
        <w:pStyle w:val="Heading1"/>
        <w:numPr>
          <w:ilvl w:val="0"/>
          <w:numId w:val="0"/>
        </w:numPr>
        <w:ind w:hanging="0" w:start="0"/>
        <w:rPr/>
      </w:pPr>
      <w:r>
        <w:rPr/>
        <w:t>Discussion</w:t>
      </w:r>
    </w:p>
    <w:p>
      <w:pPr>
        <w:pStyle w:val="standard"/>
        <w:rPr/>
      </w:pPr>
      <w:r>
        <w:rPr/>
        <w:t>We grant the petition.</w:t>
      </w:r>
    </w:p>
    <w:p>
      <w:pPr>
        <w:pStyle w:val="standard"/>
        <w:rPr/>
      </w:pPr>
      <w:r>
        <w:rPr/>
        <w:t>To understand the direct access issue, an example is appropriate.  In simplified form:  assume the bundled rate for electricity in SCE’s territory is 15¢/Kwh, which is separated into an electric energy charge of 5¢ and a transmission and distribution charge of 10¢.</w:t>
      </w:r>
      <w:r>
        <w:rPr>
          <w:rStyle w:val="FootnoteCharacters"/>
          <w:rStyle w:val="FootnoteReference"/>
        </w:rPr>
        <w:footnoteReference w:id="6"/>
      </w:r>
      <w:r>
        <w:rPr/>
        <w:t xml:space="preserve">  During the rate freeze, a bundled customer pays 15¢/Kwh regardless of an increase in the energy charge.  The responsibility for the deficit is yet to be determined.</w:t>
      </w:r>
    </w:p>
    <w:p>
      <w:pPr>
        <w:pStyle w:val="standard"/>
        <w:rPr/>
      </w:pPr>
      <w:r>
        <w:rPr/>
        <w:t>A direct access customer is one who buys electric energy from an entity other than a public utility (an ESP), and has that energy transported over the public utility’s transmission and distribution lines.  If, in our example, the ESP energy charge fluctuated with the spot market, the direct access customer could win or lose.  If the ESP charged the direct access customer 4¢/Kwh for energy the customer has benefitted.  If, however, the cost of energy rises above 5¢/Kwh, then the customer would be better off remaining with the public utility.  To encourage direct access, this Commission authorized an energy credit to the direct access customer so that it would not be harmed by an increase in the price of energy.</w:t>
      </w:r>
      <w:r>
        <w:rPr>
          <w:rStyle w:val="FootnoteCharacters"/>
          <w:rStyle w:val="FootnoteReference"/>
        </w:rPr>
        <w:footnoteReference w:id="7"/>
      </w:r>
      <w:r>
        <w:rPr/>
        <w:t xml:space="preserve">  This is embodied in the stipulation set forth in D.99-06-058.  For example, the comparison is:</w:t>
      </w:r>
      <w:r>
        <w:br w:type="page"/>
      </w:r>
    </w:p>
    <w:p>
      <w:pPr>
        <w:pStyle w:val="standard"/>
        <w:rPr>
          <w:u w:val="single"/>
        </w:rPr>
      </w:pPr>
      <w:r>
        <w:rPr>
          <w:u w:val="single"/>
        </w:rPr>
        <w:t>Bundled Rate</w:t>
      </w:r>
    </w:p>
    <w:p>
      <w:pPr>
        <w:pStyle w:val="standard"/>
        <w:spacing w:lineRule="auto" w:line="240"/>
        <w:rPr/>
      </w:pPr>
      <w:r>
        <w:rPr/>
        <w:t>Electric Energy                5¢/Kwh</w:t>
      </w:r>
    </w:p>
    <w:p>
      <w:pPr>
        <w:pStyle w:val="standard"/>
        <w:spacing w:lineRule="auto" w:line="240"/>
        <w:rPr/>
      </w:pPr>
      <w:r>
        <w:rPr/>
        <w:t xml:space="preserve">Transportation and       </w:t>
      </w:r>
    </w:p>
    <w:p>
      <w:pPr>
        <w:pStyle w:val="standard"/>
        <w:spacing w:lineRule="auto" w:line="240"/>
        <w:rPr/>
      </w:pPr>
      <w:r>
        <w:rPr>
          <w:rFonts w:eastAsia="Palatino"/>
        </w:rPr>
        <w:t xml:space="preserve"> </w:t>
      </w:r>
      <w:r>
        <w:rPr/>
        <w:t xml:space="preserve">Distribution                   </w:t>
      </w:r>
      <w:r>
        <w:rPr>
          <w:u w:val="single"/>
        </w:rPr>
        <w:t>10¢</w:t>
      </w:r>
    </w:p>
    <w:p>
      <w:pPr>
        <w:pStyle w:val="standard"/>
        <w:spacing w:lineRule="auto" w:line="240"/>
        <w:rPr/>
      </w:pPr>
      <w:r>
        <w:rPr/>
        <w:t>Total bundled rate         15¢/Kwh</w:t>
      </w:r>
    </w:p>
    <w:p>
      <w:pPr>
        <w:pStyle w:val="standard"/>
        <w:spacing w:lineRule="auto" w:line="240"/>
        <w:rPr/>
      </w:pPr>
      <w:r>
        <w:rPr/>
      </w:r>
    </w:p>
    <w:p>
      <w:pPr>
        <w:pStyle w:val="standard"/>
        <w:spacing w:lineRule="auto" w:line="240"/>
        <w:rPr/>
      </w:pPr>
      <w:r>
        <w:rPr/>
        <w:t>Assume electric energy</w:t>
      </w:r>
    </w:p>
    <w:p>
      <w:pPr>
        <w:pStyle w:val="standard"/>
        <w:spacing w:lineRule="auto" w:line="240"/>
        <w:rPr/>
      </w:pPr>
      <w:r>
        <w:rPr/>
        <w:t>PX cost of 20¢/Kwh</w:t>
      </w:r>
    </w:p>
    <w:p>
      <w:pPr>
        <w:pStyle w:val="standard"/>
        <w:spacing w:lineRule="auto" w:line="240"/>
        <w:rPr/>
      </w:pPr>
      <w:r>
        <w:rPr/>
      </w:r>
    </w:p>
    <w:p>
      <w:pPr>
        <w:pStyle w:val="standard"/>
        <w:spacing w:lineRule="auto" w:line="240"/>
        <w:rPr/>
      </w:pPr>
      <w:r>
        <w:rPr/>
        <w:t>Utility Customer Bill                                   Direct Access Customer</w:t>
      </w:r>
    </w:p>
    <w:p>
      <w:pPr>
        <w:pStyle w:val="standard"/>
        <w:spacing w:lineRule="auto" w:line="240"/>
        <w:rPr/>
      </w:pPr>
      <w:r>
        <w:rPr/>
        <w:t>Electric Energy        20¢/Kwh                                    20¢</w:t>
      </w:r>
    </w:p>
    <w:p>
      <w:pPr>
        <w:pStyle w:val="standard"/>
        <w:spacing w:lineRule="auto" w:line="240"/>
        <w:rPr/>
      </w:pPr>
      <w:r>
        <w:rPr/>
        <w:t xml:space="preserve">T&amp;D                           </w:t>
      </w:r>
      <w:r>
        <w:rPr>
          <w:u w:val="single"/>
        </w:rPr>
        <w:t>10¢</w:t>
      </w:r>
      <w:r>
        <w:rPr/>
        <w:t xml:space="preserve">                                              </w:t>
      </w:r>
      <w:r>
        <w:rPr>
          <w:u w:val="single"/>
        </w:rPr>
        <w:t>10¢</w:t>
      </w:r>
    </w:p>
    <w:p>
      <w:pPr>
        <w:pStyle w:val="standard"/>
        <w:spacing w:lineRule="auto" w:line="240"/>
        <w:rPr/>
      </w:pPr>
      <w:r>
        <w:rPr>
          <w:rFonts w:eastAsia="Palatino"/>
        </w:rPr>
        <w:t xml:space="preserve">                                    </w:t>
      </w:r>
      <w:r>
        <w:rPr/>
        <w:t>30¢/Kwh                                   30¢</w:t>
      </w:r>
    </w:p>
    <w:p>
      <w:pPr>
        <w:pStyle w:val="standard"/>
        <w:spacing w:lineRule="auto" w:line="240"/>
        <w:rPr/>
      </w:pPr>
      <w:r>
        <w:rPr/>
        <w:t xml:space="preserve">Bundled rate            </w:t>
      </w:r>
      <w:r>
        <w:rPr>
          <w:u w:val="single"/>
        </w:rPr>
        <w:t>-15¢</w:t>
      </w:r>
    </w:p>
    <w:p>
      <w:pPr>
        <w:pStyle w:val="standard"/>
        <w:spacing w:lineRule="auto" w:line="240"/>
        <w:rPr/>
      </w:pPr>
      <w:r>
        <w:rPr/>
        <w:t>Deficit                        15¢/Kwh</w:t>
      </w:r>
    </w:p>
    <w:p>
      <w:pPr>
        <w:pStyle w:val="standard"/>
        <w:spacing w:lineRule="auto" w:line="240"/>
        <w:rPr/>
      </w:pPr>
      <w:r>
        <w:rPr/>
      </w:r>
    </w:p>
    <w:p>
      <w:pPr>
        <w:pStyle w:val="standard"/>
        <w:rPr/>
      </w:pPr>
      <w:r>
        <w:rPr/>
        <w:t>If there were no credit, the direct access customer would be better off staying with the utility.  To encourage direct access, we authorized a credit of the price paid by the utility for electric energy to be offset against the bundled rate.  If the credit is in excess of the bundled rate, including transmission and distribution, the excess is a credit to the direct access customer.  In effect, transmission and distribution services are not paid for by the direct access customer, although the utility renders these services.</w:t>
      </w:r>
      <w:r>
        <w:br w:type="page"/>
      </w:r>
    </w:p>
    <w:p>
      <w:pPr>
        <w:pStyle w:val="standard"/>
        <w:rPr/>
      </w:pPr>
      <w:r>
        <w:rPr/>
        <w:t>The direct access customer credit is determined:</w:t>
      </w:r>
    </w:p>
    <w:p>
      <w:pPr>
        <w:pStyle w:val="standard"/>
        <w:spacing w:lineRule="auto" w:line="240"/>
        <w:rPr/>
      </w:pPr>
      <w:r>
        <w:rPr/>
        <w:t>Electric energy              20¢                Bundled rate            (15¢)/Kwh</w:t>
      </w:r>
    </w:p>
    <w:p>
      <w:pPr>
        <w:pStyle w:val="standard"/>
        <w:spacing w:lineRule="auto" w:line="240"/>
        <w:rPr/>
      </w:pPr>
      <w:r>
        <w:rPr/>
        <w:t xml:space="preserve">T&amp;D                                </w:t>
      </w:r>
      <w:r>
        <w:rPr>
          <w:u w:val="single"/>
        </w:rPr>
        <w:t>10¢</w:t>
      </w:r>
      <w:r>
        <w:rPr/>
        <w:t xml:space="preserve">                Credit                         </w:t>
      </w:r>
      <w:r>
        <w:rPr>
          <w:u w:val="single"/>
        </w:rPr>
        <w:t>20¢</w:t>
      </w:r>
      <w:r>
        <w:rPr/>
        <w:t>/Kwh</w:t>
      </w:r>
    </w:p>
    <w:p>
      <w:pPr>
        <w:pStyle w:val="standard"/>
        <w:spacing w:lineRule="auto" w:line="240"/>
        <w:rPr/>
      </w:pPr>
      <w:r>
        <w:rPr>
          <w:rFonts w:eastAsia="Palatino"/>
        </w:rPr>
        <w:t xml:space="preserve">    </w:t>
      </w:r>
      <w:r>
        <w:rPr/>
        <w:t>Total                            30¢                Net to direct</w:t>
      </w:r>
    </w:p>
    <w:p>
      <w:pPr>
        <w:pStyle w:val="standard"/>
        <w:spacing w:lineRule="auto" w:line="240"/>
        <w:ind w:firstLine="630" w:start="4320" w:end="0"/>
        <w:rPr/>
      </w:pPr>
      <w:r>
        <w:rPr/>
        <w:t>Access Customer     5¢/Kwh</w:t>
      </w:r>
    </w:p>
    <w:p>
      <w:pPr>
        <w:pStyle w:val="standard"/>
        <w:spacing w:lineRule="auto" w:line="240"/>
        <w:rPr/>
      </w:pPr>
      <w:r>
        <w:rPr/>
        <w:t>Utility Deficit</w:t>
      </w:r>
    </w:p>
    <w:p>
      <w:pPr>
        <w:pStyle w:val="standard"/>
        <w:spacing w:lineRule="auto" w:line="240"/>
        <w:rPr/>
      </w:pPr>
      <w:r>
        <w:rPr/>
        <w:t>T&amp;D not received         10¢/Kwh</w:t>
      </w:r>
    </w:p>
    <w:p>
      <w:pPr>
        <w:pStyle w:val="standard"/>
        <w:spacing w:lineRule="auto" w:line="240"/>
        <w:rPr/>
      </w:pPr>
      <w:r>
        <w:rPr/>
        <w:t>Credit to Direct</w:t>
      </w:r>
    </w:p>
    <w:p>
      <w:pPr>
        <w:pStyle w:val="standard"/>
        <w:spacing w:lineRule="auto" w:line="240"/>
        <w:rPr/>
      </w:pPr>
      <w:r>
        <w:rPr>
          <w:rFonts w:eastAsia="Palatino"/>
        </w:rPr>
        <w:t xml:space="preserve">  </w:t>
      </w:r>
      <w:r>
        <w:rPr/>
        <w:t xml:space="preserve">Access Customer        </w:t>
      </w:r>
      <w:r>
        <w:rPr>
          <w:u w:val="single"/>
        </w:rPr>
        <w:t xml:space="preserve">  5¢</w:t>
      </w:r>
    </w:p>
    <w:p>
      <w:pPr>
        <w:pStyle w:val="standard"/>
        <w:spacing w:lineRule="auto" w:line="240"/>
        <w:rPr/>
      </w:pPr>
      <w:r>
        <w:rPr>
          <w:rFonts w:eastAsia="Palatino"/>
        </w:rPr>
        <w:t xml:space="preserve">                                         </w:t>
      </w:r>
      <w:r>
        <w:rPr/>
        <w:t>15¢/Kwh</w:t>
      </w:r>
    </w:p>
    <w:p>
      <w:pPr>
        <w:pStyle w:val="standard"/>
        <w:spacing w:lineRule="auto" w:line="240"/>
        <w:rPr/>
      </w:pPr>
      <w:r>
        <w:rPr/>
      </w:r>
    </w:p>
    <w:p>
      <w:pPr>
        <w:pStyle w:val="standard"/>
        <w:rPr/>
      </w:pPr>
      <w:r>
        <w:rPr/>
        <w:t>Since the actual bill sent to the direct access customer by the utility is for transmission and distribution only (in our example) the bill would be 10¢/Kwh.  Because the customer is entitled to a credit (utility cost of electric energy (20¢) less the bundled rate (15¢)), SCE credits him with the 5¢/Kwh balance.  This 5¢ was usually paid in cash.  Thus, the direct access customer pays 20¢/Kwh to its ESP and receives a 5¢/Kwh credit from the public utility – net 15¢/Kwh, the same as a bundled utility customer.</w:t>
      </w:r>
    </w:p>
    <w:p>
      <w:pPr>
        <w:pStyle w:val="standard"/>
        <w:rPr/>
      </w:pPr>
      <w:r>
        <w:rPr/>
        <w:t>For direct access to succeed, the ESP must provide energy at a cost less than that of the PX.  If the PX price is 20¢/Kwh, the ESP’s price should be less.  If the ESP charges 18¢/Kwh, the direct access customer pays (in our example) 18¢ to the ESP and receives at 5¢ credit from the utility for a net payment of 13¢/Kwh.  However, the utility has incurred costs of the 5¢/Kwh credit to the direct access customer.  In effect, the utility is subsidizing direct access.</w:t>
      </w:r>
    </w:p>
    <w:p>
      <w:pPr>
        <w:pStyle w:val="standard"/>
        <w:rPr/>
      </w:pPr>
      <w:r>
        <w:rPr/>
        <w:t>Recent events in the California electric market have caused a radical change in the area of direct access.  First, the Governor’s Proclamation of January 17, 2001, found that an emergency exists in the electricity market in California threatening “the solvency of California’s major public utilities,  ….”  Second, on February 1, 2001, Assembly Bill (AB) 1X was signed into law which, among other things, requires that the Department of Water Resources (DWR) procure electricity on behalf of California utilities.  In regard to direct access, AB 1X adds Section 80110 to the Water Code:</w:t>
      </w:r>
    </w:p>
    <w:p>
      <w:pPr>
        <w:pStyle w:val="quote"/>
        <w:rPr/>
      </w:pPr>
      <w:r>
        <w:rPr/>
        <w:t>“</w:t>
      </w:r>
      <w:r>
        <w:rPr/>
        <w:t>After the passage or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[the Department of Water Resources] no longer supplies power hereunder.”  The section was effective February 1, 2001.</w:t>
      </w:r>
    </w:p>
    <w:p>
      <w:pPr>
        <w:pStyle w:val="standard"/>
        <w:rPr/>
      </w:pPr>
      <w:r>
        <w:rPr/>
        <w:t>AB 1X, Section 7 states:</w:t>
      </w:r>
    </w:p>
    <w:p>
      <w:pPr>
        <w:pStyle w:val="quote"/>
        <w:rPr/>
      </w:pPr>
      <w:r>
        <w:rPr/>
        <w:t>“</w:t>
      </w:r>
      <w:r>
        <w:rPr/>
        <w:t xml:space="preserve">This act is an urgency statute necessary for the immediate preservation of the public peace, health, or safety within the meaning of Article IV of the Constitution and shall go into immediate effect.  The facts constituting the necessity are:  </w:t>
        <w:br/>
        <w:t>In order to address the rapid, unforeseen shortage of electric power and energy available in the state and rapid and substantial increases in wholesale energy costs and retail energy rates, that endanger the health, welfare, and safety of the people of this state, it is necessary for this act to take effect immediately.”</w:t>
      </w:r>
    </w:p>
    <w:p>
      <w:pPr>
        <w:pStyle w:val="standard"/>
        <w:rPr/>
      </w:pPr>
      <w:r>
        <w:rPr/>
        <w:t>It is uncontroverted that SCE has paid in excess of $157 million since mid</w:t>
        <w:noBreakHyphen/>
        <w:t xml:space="preserve">1999 to direct access customers.  It is clear to us that during the rate freeze period, should a direct access customer pay less than the PX energy price to its ESP, the direct access customer is being subsidized by the public utility and, perhaps, by the public utility’s ratepayers.  </w:t>
      </w:r>
    </w:p>
    <w:p>
      <w:pPr>
        <w:pStyle w:val="standard"/>
        <w:rPr/>
      </w:pPr>
      <w:r>
        <w:rPr/>
        <w:t>We note that in the stipulation between SCE, Enron, and WPTF, there is no mention of a cash refund to direct access customers - the reference is to a credit.</w:t>
      </w:r>
    </w:p>
    <w:p>
      <w:pPr>
        <w:pStyle w:val="standard"/>
        <w:rPr/>
      </w:pPr>
      <w:r>
        <w:rPr/>
        <w:t xml:space="preserve">The operative portion of the stipulation states: </w:t>
      </w:r>
    </w:p>
    <w:p>
      <w:pPr>
        <w:pStyle w:val="quote"/>
        <w:rPr/>
      </w:pPr>
      <w:r>
        <w:rPr/>
        <w:t>“</w:t>
      </w:r>
      <w:r>
        <w:rPr/>
        <w:t xml:space="preserve">Specifically, SCE agrees to delete the direct access zero minimum bill provision from its tariffs and bill direct access customers without this mechanism, provided that (1) SCE is only required to implement this change to its bills when its billing systems are otherwise capable of making this change (which is expected to occur on or before July 1, 1999); and (2) SCE will refund (without interest), </w:t>
      </w:r>
      <w:r>
        <w:rPr>
          <w:u w:val="single"/>
        </w:rPr>
        <w:t>in the form of a credit to the bill</w:t>
      </w:r>
      <w:r>
        <w:rPr/>
        <w:t>, any amounts which are charged to the Direct Access Customers, that otherwise would not be charged, solely due to imposition of the minimum bill for the time period beginning with the effective date of a decision approving elimination of the minimum bill, and ending with the date on which the billing change is made assuming that SCE’s billing system is unable to make this change by the time a decision is rendered in this proceeding.  SCE expects that refunds of this nature would not be necessary due to billing system constraints beyond July 1, 1999.”  (Emphasis added.)</w:t>
      </w:r>
    </w:p>
    <w:p>
      <w:pPr>
        <w:pStyle w:val="standard"/>
        <w:rPr/>
      </w:pPr>
      <w:r>
        <w:rPr/>
        <w:t xml:space="preserve">We find no provision in the stipulation which would require SCE to make a cash payment in lieu of a credit.  Although we interpret the stipulation narrowly, if given a broader interpretation requiring cash payments, we would still suspend the payment of cash in lieu of a credit.  As proclaimed by the Governor, as found in Water Code § 8000, </w:t>
      </w:r>
      <w:r>
        <w:rPr>
          <w:i/>
        </w:rPr>
        <w:t>et seq.</w:t>
      </w:r>
      <w:r>
        <w:rPr/>
        <w:t>, and as set forth in Pub. Util. Code § 330, especially § 330(g) (“Reliable electric service is of utmost importance to the safety, health, and welfare of the state’s citizenry and economy.” …)  Our primary duty is to ensure reliable electric service.  Utility cash, which is in short supply, should be conserved to provide reliable service, not subsidize direct access.</w:t>
      </w:r>
    </w:p>
    <w:p>
      <w:pPr>
        <w:pStyle w:val="standard"/>
        <w:rPr/>
      </w:pPr>
      <w:r>
        <w:rPr/>
        <w:t>SCE informs us that there is currently due direct access customers as of mid-February 2001, credits in excess of $202 million.  In the current energy crisis, SCE should not be preferring the direct access customer; rather it should be focusing on purchasing sufficient energy to keep the lights on in Southern California.  The Legislature has directed this Commission to suspend direct access until DWR no longer procures power for the retail end-users, and we find it should be stopped effective July 1, 2001.</w:t>
      </w:r>
    </w:p>
    <w:p>
      <w:pPr>
        <w:pStyle w:val="standard"/>
        <w:rPr/>
      </w:pPr>
      <w:r>
        <w:rPr/>
        <w:t>Written contracts for direct access signed before July 1, 2001 are exempt from the suspension.  Because of the current emergency, this order suspending payment of cash refunds to direct access customers and the right to contract for direct access should apply to PG&amp;E and SCE.  This order does not apply to SDG&amp;E because its rate freeze has ended and a direct access credit is no longer required.</w:t>
      </w:r>
    </w:p>
    <w:p>
      <w:pPr>
        <w:pStyle w:val="Heading1"/>
        <w:numPr>
          <w:ilvl w:val="0"/>
          <w:numId w:val="0"/>
        </w:numPr>
        <w:ind w:hanging="0" w:start="0"/>
        <w:rPr/>
      </w:pPr>
      <w:r>
        <w:rPr/>
        <w:t>Comments</w:t>
      </w:r>
    </w:p>
    <w:p>
      <w:pPr>
        <w:pStyle w:val="standard"/>
        <w:rPr/>
      </w:pPr>
      <w:r>
        <w:rPr/>
        <w:t>Suspending the right to contract for direct access protects DWR and the electric utilities in their endeavor to secure long-term contracts to acquire electric energy, with a reasonable opportunity to recover their costs of power.  We have determined on our own motion that public necessity require reduction of the usual 30-day period for public review and comment to 10 days.  (Rule 77.7(f)(9).)  Reply comments are waived.  The Water Code sections regarding the purchase of electric energy by the Department of Water Resources has an urgency statute which provided for the suspension of direct access.  The legislature found that immediate implementation of the statute was needed to protect the “health, welfare, and safety of the people of this state ….”  Our urgency is no less.  Parties in R.94-04-031 and I.94-04-032 may file comments to this draft decision in this docket.</w:t>
      </w:r>
    </w:p>
    <w:p>
      <w:pPr>
        <w:pStyle w:val="dummy"/>
        <w:rPr/>
      </w:pPr>
      <w:r>
        <w:rPr/>
        <w:t>Findings of Fact</w:t>
      </w:r>
    </w:p>
    <w:p>
      <w:pPr>
        <w:pStyle w:val="num1"/>
        <w:numPr>
          <w:ilvl w:val="0"/>
          <w:numId w:val="4"/>
        </w:numPr>
        <w:rPr/>
      </w:pPr>
      <w:r>
        <w:rPr/>
        <w:t>An emergency exists in the electricity market in California.</w:t>
      </w:r>
    </w:p>
    <w:p>
      <w:pPr>
        <w:pStyle w:val="num1"/>
        <w:numPr>
          <w:ilvl w:val="0"/>
          <w:numId w:val="4"/>
        </w:numPr>
        <w:rPr/>
      </w:pPr>
      <w:r>
        <w:rPr/>
        <w:t>Under the rate freeze, direct access customers are being subsidized by SCE.</w:t>
      </w:r>
    </w:p>
    <w:p>
      <w:pPr>
        <w:pStyle w:val="num1"/>
        <w:numPr>
          <w:ilvl w:val="0"/>
          <w:numId w:val="4"/>
        </w:numPr>
        <w:rPr/>
      </w:pPr>
      <w:r>
        <w:rPr/>
        <w:t>There is no requirement for SCE to make cash refunds to direct access customers or ESPs in lieu of a bill credit.</w:t>
      </w:r>
    </w:p>
    <w:p>
      <w:pPr>
        <w:pStyle w:val="num1"/>
        <w:numPr>
          <w:ilvl w:val="0"/>
          <w:numId w:val="4"/>
        </w:numPr>
        <w:rPr/>
      </w:pPr>
      <w:r>
        <w:rPr/>
        <w:t>Pursuant to Water Code § 80110, this Commission must determine when the right of retail end use customers to acquire service from other providers shall be suspended.</w:t>
      </w:r>
    </w:p>
    <w:p>
      <w:pPr>
        <w:pStyle w:val="num1"/>
        <w:numPr>
          <w:ilvl w:val="0"/>
          <w:numId w:val="4"/>
        </w:numPr>
        <w:rPr/>
      </w:pPr>
      <w:r>
        <w:rPr/>
        <w:t>The right to contract for direct access should be suspended effective July 1, 2001, except for written contracts executed prior to July 1, 2001.</w:t>
      </w:r>
    </w:p>
    <w:p>
      <w:pPr>
        <w:pStyle w:val="dummy"/>
        <w:rPr/>
      </w:pPr>
      <w:r>
        <w:rPr/>
        <w:t>Conclusions of Law</w:t>
      </w:r>
    </w:p>
    <w:p>
      <w:pPr>
        <w:pStyle w:val="num1"/>
        <w:numPr>
          <w:ilvl w:val="0"/>
          <w:numId w:val="3"/>
        </w:numPr>
        <w:rPr/>
      </w:pPr>
      <w:r>
        <w:rPr/>
        <w:t>The petition of SCE should be granted.</w:t>
      </w:r>
    </w:p>
    <w:p>
      <w:pPr>
        <w:pStyle w:val="num1"/>
        <w:numPr>
          <w:ilvl w:val="0"/>
          <w:numId w:val="3"/>
        </w:numPr>
        <w:rPr/>
      </w:pPr>
      <w:r>
        <w:rPr/>
        <w:t>SCE should not make cash payments to direct access customers or ESPs to satisfy the PX credit.</w:t>
      </w:r>
    </w:p>
    <w:p>
      <w:pPr>
        <w:pStyle w:val="num1"/>
        <w:numPr>
          <w:ilvl w:val="0"/>
          <w:numId w:val="3"/>
        </w:numPr>
        <w:rPr/>
      </w:pPr>
      <w:r>
        <w:rPr/>
        <w:t>The determinations we make today should apply to PG&amp;E, SDG&amp;E, as well as SCE.</w:t>
      </w:r>
    </w:p>
    <w:p>
      <w:pPr>
        <w:pStyle w:val="num1"/>
        <w:numPr>
          <w:ilvl w:val="0"/>
          <w:numId w:val="3"/>
        </w:numPr>
        <w:rPr/>
      </w:pPr>
      <w:r>
        <w:rPr/>
        <w:t xml:space="preserve">This order should be served on the parties to R.94-04-031 and I.94-04-032, who may file comments to the draft decision in this docket.  </w:t>
      </w:r>
    </w:p>
    <w:p>
      <w:pPr>
        <w:pStyle w:val="num1"/>
        <w:numPr>
          <w:ilvl w:val="0"/>
          <w:numId w:val="3"/>
        </w:numPr>
        <w:rPr/>
      </w:pPr>
      <w:r>
        <w:rPr/>
        <w:t>The right to contract for direct access should be suspended effective July 1, 2001, except for written contracts executed prior to July 1, 2001.</w:t>
      </w:r>
    </w:p>
    <w:p>
      <w:pPr>
        <w:pStyle w:val="num1"/>
        <w:numPr>
          <w:ilvl w:val="0"/>
          <w:numId w:val="3"/>
        </w:numPr>
        <w:rPr/>
      </w:pPr>
      <w:r>
        <w:rPr/>
        <w:t>This order should be effective today so that our findings may be implemented expeditiously.</w:t>
      </w:r>
    </w:p>
    <w:p>
      <w:pPr>
        <w:pStyle w:val="Normal"/>
        <w:spacing w:lineRule="auto" w:line="360"/>
        <w:rPr/>
      </w:pPr>
      <w:r>
        <w:rPr/>
      </w:r>
    </w:p>
    <w:p>
      <w:pPr>
        <w:pStyle w:val="mainex"/>
        <w:rPr/>
      </w:pPr>
      <w:r>
        <w:rPr/>
        <w:t>ORDER</w:t>
      </w:r>
    </w:p>
    <w:p>
      <w:pPr>
        <w:pStyle w:val="Normal"/>
        <w:keepNext w:val="true"/>
        <w:rPr/>
      </w:pPr>
      <w:r>
        <w:rPr/>
      </w:r>
    </w:p>
    <w:p>
      <w:pPr>
        <w:pStyle w:val="standard"/>
        <w:keepNext w:val="true"/>
        <w:rPr/>
      </w:pPr>
      <w:r>
        <w:rPr>
          <w:b/>
        </w:rPr>
        <w:t>IT IS ORDERED</w:t>
      </w:r>
      <w:r>
        <w:rPr/>
        <w:t xml:space="preserve"> that:</w:t>
      </w:r>
    </w:p>
    <w:p>
      <w:pPr>
        <w:pStyle w:val="num1"/>
        <w:numPr>
          <w:ilvl w:val="0"/>
          <w:numId w:val="5"/>
        </w:numPr>
        <w:rPr/>
      </w:pPr>
      <w:r>
        <w:rPr/>
        <w:t>The petition of Southern California Edison Company (SCE) to modify Decision 99-06-058 is granted to the extent set forth in Ordering Paragraphs 2 and 3.</w:t>
      </w:r>
    </w:p>
    <w:p>
      <w:pPr>
        <w:pStyle w:val="num1"/>
        <w:numPr>
          <w:ilvl w:val="0"/>
          <w:numId w:val="5"/>
        </w:numPr>
        <w:rPr/>
      </w:pPr>
      <w:r>
        <w:rPr/>
        <w:t>This order shall apply to Pacific Gas and Electric Company (PG&amp;E) and San Diego Gas &amp; Electric Company (SDG&amp;E).</w:t>
      </w:r>
    </w:p>
    <w:p>
      <w:pPr>
        <w:pStyle w:val="num1"/>
        <w:numPr>
          <w:ilvl w:val="0"/>
          <w:numId w:val="5"/>
        </w:numPr>
        <w:rPr/>
      </w:pPr>
      <w:r>
        <w:rPr/>
        <w:t>SCE, PG&amp;E, and SDG&amp;E shall not make any payments of cash to direct access customers or energy service providers to satisfy the customers’ Power Exchange credit balance.</w:t>
      </w:r>
    </w:p>
    <w:p>
      <w:pPr>
        <w:pStyle w:val="num1"/>
        <w:numPr>
          <w:ilvl w:val="0"/>
          <w:numId w:val="5"/>
        </w:numPr>
        <w:rPr/>
      </w:pPr>
      <w:r>
        <w:rPr/>
        <w:t xml:space="preserve">SCE, PG&amp;E, and SDG&amp;E shall notify their customers that the right of retail end users to acquire service from other providers, except the Department of Water Resources, is suspended until the Department no longer supplies power  pursuant to Water Code §§ 80000, </w:t>
      </w:r>
      <w:r>
        <w:rPr>
          <w:i/>
        </w:rPr>
        <w:t>et seq.</w:t>
      </w:r>
      <w:r>
        <w:rPr/>
        <w:t>, effective July 1, 2001, except for written contracts executed prior to July 1, 2001.</w:t>
      </w:r>
    </w:p>
    <w:p>
      <w:pPr>
        <w:pStyle w:val="num1"/>
        <w:numPr>
          <w:ilvl w:val="0"/>
          <w:numId w:val="5"/>
        </w:numPr>
        <w:rPr/>
      </w:pPr>
      <w:r>
        <w:rPr/>
        <w:t>This proceeding is closed.</w:t>
      </w:r>
    </w:p>
    <w:p>
      <w:pPr>
        <w:pStyle w:val="standard"/>
        <w:rPr/>
      </w:pPr>
      <w:r>
        <w:rPr/>
        <w:t>This order is effective today.</w:t>
      </w:r>
    </w:p>
    <w:p>
      <w:pPr>
        <w:sectPr>
          <w:headerReference w:type="default" r:id="rId9"/>
          <w:headerReference w:type="first" r:id="rId10"/>
          <w:footerReference w:type="default" r:id="rId11"/>
          <w:footerReference w:type="first" r:id="rId12"/>
          <w:footnotePr>
            <w:numFmt w:val="decimal"/>
          </w:footnotePr>
          <w:type w:val="nextPage"/>
          <w:pgSz w:w="12240" w:h="15840"/>
          <w:pgMar w:left="1440" w:right="1440" w:gutter="0" w:header="720" w:top="1152" w:footer="720" w:bottom="1440"/>
          <w:pgNumType w:start="1" w:fmt="decimal"/>
          <w:formProt w:val="false"/>
          <w:titlePg/>
          <w:textDirection w:val="lrTb"/>
          <w:docGrid w:type="default" w:linePitch="360" w:charSpace="0"/>
        </w:sectPr>
        <w:pStyle w:val="standard"/>
        <w:rPr/>
      </w:pPr>
      <w:r>
        <w:rPr/>
        <w:t xml:space="preserve">Dated </w:t>
      </w:r>
      <w:r>
        <w:rPr>
          <w:u w:val="single"/>
        </w:rPr>
        <w:tab/>
        <w:tab/>
        <w:tab/>
        <w:tab/>
        <w:tab/>
      </w:r>
      <w:r>
        <w:rPr/>
        <w:t xml:space="preserve">, at San Francisco, California. </w:t>
      </w:r>
    </w:p>
    <w:p>
      <w:pPr>
        <w:pStyle w:val="standard"/>
        <w:jc w:val="center"/>
        <w:rPr/>
      </w:pPr>
      <w:r>
        <w:rPr/>
        <w:t>(See Formal Files for Appendix A.)</w:t>
      </w:r>
    </w:p>
    <w:sectPr>
      <w:headerReference w:type="default" r:id="rId13"/>
      <w:headerReference w:type="first" r:id="rId14"/>
      <w:footerReference w:type="default" r:id="rId15"/>
      <w:footerReference w:type="first" r:id="rId16"/>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89957</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89957</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This frozen rate now is supplemented by the 1¢/kWh surcharge adopted in D.01</w:t>
        <w:noBreakHyphen/>
        <w:t>01</w:t>
        <w:noBreakHyphen/>
        <w:t xml:space="preserve">018, and the 3¢/kWh surcharge adopted in D.01-03-082.  </w:t>
      </w:r>
    </w:p>
  </w:footnote>
  <w:footnote w:id="3">
    <w:p>
      <w:pPr>
        <w:pStyle w:val="FootnoteText"/>
        <w:spacing w:before="0" w:after="240"/>
        <w:rPr/>
      </w:pPr>
      <w:r>
        <w:rPr>
          <w:rStyle w:val="FootnoteCharacters"/>
        </w:rPr>
        <w:footnoteRef/>
      </w:r>
      <w:r>
        <w:rPr/>
        <w:t xml:space="preserve">  </w:t>
      </w:r>
      <w:r>
        <w:rPr/>
        <w:t>PG&amp;E and SDG&amp;E entered into similar stipulations with WPTF and Enron.</w:t>
      </w:r>
    </w:p>
  </w:footnote>
  <w:footnote w:id="4">
    <w:p>
      <w:pPr>
        <w:pStyle w:val="FootnoteText"/>
        <w:spacing w:before="0" w:after="240"/>
        <w:rPr/>
      </w:pPr>
      <w:r>
        <w:rPr>
          <w:rStyle w:val="FootnoteCharacters"/>
        </w:rPr>
        <w:footnoteRef/>
      </w:r>
      <w:r>
        <w:rPr/>
        <w:t xml:space="preserve">  </w:t>
      </w:r>
      <w:r>
        <w:rPr/>
        <w:t>For example, recent electricity prices have ranged from 25¢/kWh ($250 per MWh) to 50¢/kWh ($500 per MWh) compared to 8¢/kWh ($80 per MWh) in late October 2000.  Since June 2000, SCE has made payments of PX energy credits in the amount of $157 million to direct access customers and ESPs.</w:t>
      </w:r>
    </w:p>
  </w:footnote>
  <w:footnote w:id="5">
    <w:p>
      <w:pPr>
        <w:pStyle w:val="FootnoteText"/>
        <w:spacing w:before="0" w:after="240"/>
        <w:rPr/>
      </w:pPr>
      <w:r>
        <w:rPr>
          <w:rStyle w:val="FootnoteCharacters"/>
        </w:rPr>
        <w:footnoteRef/>
      </w:r>
      <w:r>
        <w:rPr/>
        <w:t xml:space="preserve">  </w:t>
      </w:r>
      <w:r>
        <w:rPr/>
        <w:t>SCE will notify ESPs and direct access customers through a bill message that refund checks will not be issued for PX energy credits.</w:t>
      </w:r>
    </w:p>
  </w:footnote>
  <w:footnote w:id="6">
    <w:p>
      <w:pPr>
        <w:pStyle w:val="FootnoteText"/>
        <w:spacing w:before="0" w:after="240"/>
        <w:rPr/>
      </w:pPr>
      <w:r>
        <w:rPr>
          <w:rStyle w:val="FootnoteCharacters"/>
        </w:rPr>
        <w:footnoteRef/>
      </w:r>
      <w:r>
        <w:rPr/>
        <w:t xml:space="preserve">  </w:t>
      </w:r>
      <w:r>
        <w:rPr/>
        <w:t>The electric energy charge is the total frozen rate less distribution, transmission, public purpose programs, nuclear decommissioning, and trust transfer amounts.</w:t>
      </w:r>
    </w:p>
  </w:footnote>
  <w:footnote w:id="7">
    <w:p>
      <w:pPr>
        <w:pStyle w:val="FootnoteText"/>
        <w:spacing w:before="0" w:after="240"/>
        <w:rPr/>
      </w:pPr>
      <w:r>
        <w:rPr>
          <w:rStyle w:val="FootnoteCharacters"/>
        </w:rPr>
        <w:footnoteRef/>
      </w:r>
      <w:r>
        <w:rPr/>
        <w:t xml:space="preserve">  </w:t>
      </w:r>
      <w:r>
        <w:rPr/>
        <w:t>D.99-06-058, at mimeo. 19.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ALJ/RAB/sid</w:t>
      <w:tab/>
      <w:tab/>
    </w:r>
    <w:r>
      <w:rPr>
        <w:rFonts w:cs="HELVETICA" w:ascii="HELVETICA" w:hAnsi="HELVETICA"/>
        <w:b/>
        <w:sz w:val="36"/>
      </w:rPr>
      <w:t>DRAFT</w:t>
    </w:r>
  </w:p>
  <w:p>
    <w:pPr>
      <w:pStyle w:val="Header"/>
      <w:rPr>
        <w:rFonts w:ascii="HELVETICA" w:hAnsi="HELVETICA" w:cs="HELVETICA"/>
        <w:b/>
        <w:sz w:val="36"/>
      </w:rPr>
    </w:pPr>
    <w:r>
      <w:rPr>
        <w:rFonts w:cs="HELVETICA" w:ascii="HELVETICA" w:hAnsi="HELVETICA"/>
        <w:b/>
        <w:sz w:val="36"/>
      </w:rPr>
    </w:r>
  </w:p>
  <w:p>
    <w:pPr>
      <w:pStyle w:val="Header"/>
      <w:rPr>
        <w:rFonts w:ascii="HELVETICA" w:hAnsi="HELVETICA" w:cs="HELVETICA"/>
      </w:rPr>
    </w:pPr>
    <w:r>
      <w:rPr>
        <w:rFonts w:cs="HELVETICA" w:ascii="HELVETICA" w:hAnsi="HELVETICA"/>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ALJ/RAB/sid</w:t>
      <w:tab/>
      <w:tab/>
    </w:r>
    <w:r>
      <w:rPr>
        <w:rFonts w:cs="HELVETICA" w:ascii="HELVETICA" w:hAnsi="HELVETICA"/>
        <w:b/>
        <w:sz w:val="36"/>
      </w:rPr>
      <w:t>DRAFT</w:t>
    </w:r>
  </w:p>
  <w:p>
    <w:pPr>
      <w:pStyle w:val="Header"/>
      <w:rPr>
        <w:rFonts w:ascii="HELVETICA" w:hAnsi="HELVETICA" w:cs="HELVETICA"/>
        <w:b/>
        <w:sz w:val="36"/>
      </w:rPr>
    </w:pPr>
    <w:r>
      <w:rPr>
        <w:rFonts w:cs="HELVETICA" w:ascii="HELVETICA" w:hAnsi="HELVETICA"/>
        <w:b/>
        <w:sz w:val="36"/>
      </w:rPr>
    </w:r>
  </w:p>
  <w:p>
    <w:pPr>
      <w:pStyle w:val="Header"/>
      <w:rPr>
        <w:rFonts w:ascii="HELVETICA" w:hAnsi="HELVETICA" w:cs="HELVETICA"/>
      </w:rPr>
    </w:pPr>
    <w:r>
      <w:rPr>
        <w:rFonts w:cs="HELVETICA" w:ascii="HELVETICA" w:hAnsi="HELVETICA"/>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ALJ/RAB/sid</w:t>
      <w:tab/>
      <w:tab/>
    </w:r>
    <w:r>
      <w:rPr>
        <w:rFonts w:cs="HELVETICA" w:ascii="HELVETICA" w:hAnsi="HELVETICA"/>
        <w:b/>
        <w:sz w:val="36"/>
      </w:rPr>
      <w:t>DRAFT</w:t>
    </w:r>
  </w:p>
  <w:p>
    <w:pPr>
      <w:pStyle w:val="Header"/>
      <w:rPr>
        <w:rFonts w:ascii="HELVETICA" w:hAnsi="HELVETICA" w:cs="HELVETICA"/>
        <w:b/>
        <w:sz w:val="36"/>
      </w:rPr>
    </w:pPr>
    <w:r>
      <w:rPr>
        <w:rFonts w:cs="HELVETICA" w:ascii="HELVETICA" w:hAnsi="HELVETICA"/>
        <w:b/>
        <w:sz w:val="36"/>
      </w:rPr>
    </w:r>
  </w:p>
  <w:p>
    <w:pPr>
      <w:pStyle w:val="Header"/>
      <w:rPr>
        <w:rFonts w:ascii="HELVETICA" w:hAnsi="HELVETICA" w:cs="HELVETICA"/>
      </w:rPr>
    </w:pPr>
    <w:r>
      <w:rPr>
        <w:rFonts w:cs="HELVETICA" w:ascii="HELVETICA" w:hAnsi="HELVETICA"/>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lowerLetter"/>
      <w:lvlText w:val="%1."/>
      <w:lvlJc w:val="start"/>
      <w:pPr>
        <w:tabs>
          <w:tab w:val="num" w:pos="360"/>
        </w:tabs>
        <w:ind w:start="0" w:hanging="0"/>
      </w:pPr>
      <w:rPr>
        <w:sz w:val="26"/>
        <w:rFonts w:ascii="Palatino" w:hAnsi="Palatino" w:cs="Palatino"/>
      </w:r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lvlText w:val="%1."/>
      <w:lvlJc w:val="start"/>
      <w:pPr>
        <w:tabs>
          <w:tab w:val="num" w:pos="0"/>
        </w:tabs>
        <w:ind w:start="0" w:hanging="0"/>
      </w:pPr>
    </w:lvl>
  </w:abstractNum>
  <w:abstractNum w:abstractNumId="5">
    <w:lvl w:ilvl="0">
      <w:start w:val="1"/>
      <w:numFmt w:val="decimal"/>
      <w:lvlText w:val="%1."/>
      <w:lvlJc w:val="start"/>
      <w:pPr>
        <w:tabs>
          <w:tab w:val="num" w:pos="0"/>
        </w:tabs>
        <w:ind w:start="0" w:hanging="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360" w:start="360" w:end="360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hanging="360" w:start="1080" w:end="2880"/>
      <w:outlineLvl w:val="1"/>
    </w:pPr>
    <w:rPr>
      <w:rFonts w:ascii="HELVETICA" w:hAnsi="HELVETICA" w:cs="HELVETICA"/>
      <w:b/>
    </w:rPr>
  </w:style>
  <w:style w:type="paragraph" w:styleId="Heading3">
    <w:name w:val="heading 3"/>
    <w:basedOn w:val="Normal"/>
    <w:next w:val="sub2"/>
    <w:qFormat/>
    <w:pPr>
      <w:keepNext w:val="true"/>
      <w:numPr>
        <w:ilvl w:val="2"/>
        <w:numId w:val="1"/>
      </w:numPr>
      <w:tabs>
        <w:tab w:val="clear" w:pos="720"/>
        <w:tab w:val="left" w:pos="1440" w:leader="none"/>
      </w:tabs>
      <w:spacing w:before="120" w:after="120"/>
      <w:ind w:hanging="360" w:start="0" w:end="2160"/>
      <w:outlineLvl w:val="2"/>
    </w:pPr>
    <w:rPr>
      <w:rFonts w:ascii="HELVETICA" w:hAnsi="HELVETICA" w:cs="HELVETICA"/>
      <w:b/>
    </w:rPr>
  </w:style>
  <w:style w:type="paragraph" w:styleId="Heading4">
    <w:name w:val="heading 4"/>
    <w:basedOn w:val="Normal"/>
    <w:next w:val="sub3"/>
    <w:qFormat/>
    <w:pPr>
      <w:keepNext w:val="true"/>
      <w:numPr>
        <w:ilvl w:val="3"/>
        <w:numId w:val="1"/>
      </w:numPr>
      <w:tabs>
        <w:tab w:val="clear" w:pos="720"/>
        <w:tab w:val="left" w:pos="1800" w:leader="none"/>
      </w:tabs>
      <w:spacing w:before="120" w:after="120"/>
      <w:ind w:hanging="360" w:start="1800" w:end="2160"/>
      <w:outlineLvl w:val="3"/>
    </w:pPr>
    <w:rPr>
      <w:rFonts w:ascii="HELVETICA" w:hAnsi="HELVETICA" w:cs="HELVETICA"/>
      <w:b/>
    </w:rPr>
  </w:style>
  <w:style w:type="paragraph" w:styleId="Heading5">
    <w:name w:val="heading 5"/>
    <w:basedOn w:val="Normal"/>
    <w:next w:val="sub4"/>
    <w:qFormat/>
    <w:pPr>
      <w:numPr>
        <w:ilvl w:val="4"/>
        <w:numId w:val="1"/>
      </w:numPr>
      <w:tabs>
        <w:tab w:val="clear" w:pos="720"/>
        <w:tab w:val="left" w:pos="2250" w:leader="none"/>
      </w:tabs>
      <w:spacing w:before="120" w:after="120"/>
      <w:ind w:hanging="450" w:start="2250" w:end="1440"/>
      <w:outlineLvl w:val="4"/>
    </w:pPr>
    <w:rPr>
      <w:rFonts w:ascii="HELVETICA" w:hAnsi="HELVETICA" w:cs="HELVETICA"/>
      <w:b/>
    </w:rPr>
  </w:style>
  <w:style w:type="paragraph" w:styleId="Heading6">
    <w:name w:val="heading 6"/>
    <w:basedOn w:val="Normal"/>
    <w:next w:val="sub5"/>
    <w:qFormat/>
    <w:pPr>
      <w:numPr>
        <w:ilvl w:val="5"/>
        <w:numId w:val="1"/>
      </w:numPr>
      <w:tabs>
        <w:tab w:val="clear" w:pos="720"/>
        <w:tab w:val="left" w:pos="2700" w:leader="none"/>
      </w:tabs>
      <w:spacing w:before="120" w:after="120"/>
      <w:ind w:hanging="450" w:start="2700" w:end="1440"/>
      <w:outlineLvl w:val="5"/>
    </w:pPr>
    <w:rPr>
      <w:rFonts w:ascii="HELVETICA" w:hAnsi="HELVETICA" w:cs="HELVETICA"/>
      <w:b/>
      <w:sz w:val="24"/>
    </w:rPr>
  </w:style>
  <w:style w:type="paragraph" w:styleId="Heading7">
    <w:name w:val="heading 7"/>
    <w:basedOn w:val="Normal"/>
    <w:next w:val="sub6"/>
    <w:qFormat/>
    <w:pPr>
      <w:numPr>
        <w:ilvl w:val="6"/>
        <w:numId w:val="1"/>
      </w:numPr>
      <w:tabs>
        <w:tab w:val="clear" w:pos="720"/>
        <w:tab w:val="left" w:pos="3060" w:leader="none"/>
      </w:tabs>
      <w:spacing w:before="120" w:after="120"/>
      <w:ind w:hanging="360" w:start="3060" w:end="1440"/>
      <w:outlineLvl w:val="6"/>
    </w:pPr>
    <w:rPr>
      <w:rFonts w:ascii="HELVETICA" w:hAnsi="HELVETICA" w:cs="HELVETICA"/>
      <w:b/>
      <w:i/>
      <w:sz w:val="22"/>
    </w:rPr>
  </w:style>
  <w:style w:type="paragraph" w:styleId="Heading8">
    <w:name w:val="heading 8"/>
    <w:basedOn w:val="Normal"/>
    <w:next w:val="sub7"/>
    <w:qFormat/>
    <w:pPr>
      <w:numPr>
        <w:ilvl w:val="7"/>
        <w:numId w:val="1"/>
      </w:numPr>
      <w:tabs>
        <w:tab w:val="clear" w:pos="720"/>
        <w:tab w:val="left" w:pos="3420" w:leader="none"/>
      </w:tabs>
      <w:spacing w:before="120" w:after="120"/>
      <w:ind w:hanging="360" w:start="3420" w:end="1440"/>
      <w:outlineLvl w:val="7"/>
    </w:pPr>
    <w:rPr>
      <w:rFonts w:ascii="HELVETICA" w:hAnsi="HELVETICA" w:cs="HELVETICA"/>
      <w:b/>
      <w:i/>
      <w:sz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360" w:start="3780" w:end="1440"/>
      <w:outlineLvl w:val="8"/>
    </w:pPr>
    <w:rPr>
      <w:rFonts w:ascii="Arial" w:hAnsi="Arial" w:cs="Arial"/>
      <w:b/>
      <w:i/>
      <w:sz w:val="18"/>
    </w:rPr>
  </w:style>
  <w:style w:type="character" w:styleId="WW8Num1z0">
    <w:name w:val="WW8Num1z0"/>
    <w:qFormat/>
    <w:rPr>
      <w:rFonts w:ascii="Palatino" w:hAnsi="Palatino" w:cs="Palatino"/>
      <w:sz w:val="26"/>
    </w:rPr>
  </w:style>
  <w:style w:type="character" w:styleId="WW8Num4z1">
    <w:name w:val="WW8Num4z1"/>
    <w:qFormat/>
    <w:rPr>
      <w:b/>
      <w:i w:val="fals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6"/>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2"/>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08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clear" w:pos="720"/>
        <w:tab w:val="right" w:pos="9360" w:leader="none"/>
      </w:tabs>
    </w:pPr>
    <w:rPr>
      <w:b/>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720" w:start="720" w:end="0"/>
    </w:pPr>
    <w:rPr>
      <w:lang w:val="en-CA"/>
    </w:rPr>
  </w:style>
  <w:style w:type="paragraph" w:styleId="TOC3">
    <w:name w:val="toc 3"/>
    <w:basedOn w:val="Normal"/>
    <w:next w:val="Normal"/>
    <w:pPr>
      <w:tabs>
        <w:tab w:val="clear" w:pos="720"/>
        <w:tab w:val="left" w:pos="1080" w:leader="none"/>
        <w:tab w:val="right" w:pos="9350" w:leader="dot"/>
      </w:tabs>
      <w:ind w:hanging="360" w:start="1080" w:end="0"/>
    </w:pPr>
    <w:rPr>
      <w:lang w:val="en-CA"/>
    </w:rPr>
  </w:style>
  <w:style w:type="paragraph" w:styleId="TOC5">
    <w:name w:val="toc 5"/>
    <w:basedOn w:val="Normal"/>
    <w:next w:val="Normal"/>
    <w:pPr>
      <w:tabs>
        <w:tab w:val="clear" w:pos="720"/>
        <w:tab w:val="left" w:pos="1800" w:leader="none"/>
        <w:tab w:val="right" w:pos="9350" w:leader="dot"/>
      </w:tabs>
      <w:ind w:hanging="360" w:start="1800" w:end="0"/>
    </w:pPr>
    <w:rPr>
      <w:lang w:val="en-CA"/>
    </w:rPr>
  </w:style>
  <w:style w:type="paragraph" w:styleId="TOC6">
    <w:name w:val="toc 6"/>
    <w:basedOn w:val="Normal"/>
    <w:next w:val="Normal"/>
    <w:pPr>
      <w:tabs>
        <w:tab w:val="clear" w:pos="720"/>
        <w:tab w:val="left" w:pos="2250" w:leader="none"/>
        <w:tab w:val="right" w:pos="9350" w:leader="dot"/>
      </w:tabs>
      <w:ind w:hanging="450" w:start="2250" w:end="0"/>
    </w:pPr>
    <w:rPr>
      <w:lang w:val="en-CA"/>
    </w:rPr>
  </w:style>
  <w:style w:type="paragraph" w:styleId="TOC7">
    <w:name w:val="toc 7"/>
    <w:basedOn w:val="Normal"/>
    <w:next w:val="Normal"/>
    <w:pPr>
      <w:tabs>
        <w:tab w:val="clear" w:pos="720"/>
        <w:tab w:val="left" w:pos="2700" w:leader="none"/>
        <w:tab w:val="right" w:pos="9350" w:leader="dot"/>
      </w:tabs>
      <w:ind w:hanging="450" w:start="2700" w:end="0"/>
    </w:pPr>
    <w:rPr>
      <w:lang w:val="en-CA"/>
    </w:rPr>
  </w:style>
  <w:style w:type="paragraph" w:styleId="TOC8">
    <w:name w:val="toc 8"/>
    <w:basedOn w:val="Normal"/>
    <w:next w:val="Normal"/>
    <w:pPr>
      <w:tabs>
        <w:tab w:val="clear" w:pos="720"/>
        <w:tab w:val="left" w:pos="3150" w:leader="none"/>
        <w:tab w:val="right" w:pos="9350" w:leader="dot"/>
      </w:tabs>
      <w:ind w:hanging="450" w:start="3150" w:end="0"/>
    </w:pPr>
    <w:rPr>
      <w:lang w:val="en-CA"/>
    </w:rPr>
  </w:style>
  <w:style w:type="paragraph" w:styleId="TOC9">
    <w:name w:val="toc 9"/>
    <w:basedOn w:val="Normal"/>
    <w:next w:val="Normal"/>
    <w:pPr>
      <w:tabs>
        <w:tab w:val="clear" w:pos="720"/>
        <w:tab w:val="left" w:pos="3600" w:leader="none"/>
        <w:tab w:val="right" w:pos="9350" w:leader="dot"/>
      </w:tabs>
      <w:ind w:hanging="450" w:start="3600" w:end="0"/>
    </w:pPr>
    <w:rPr>
      <w:lang w:val="en-CA"/>
    </w:rPr>
  </w:style>
  <w:style w:type="paragraph" w:styleId="sub8">
    <w:name w:val="sub8"/>
    <w:basedOn w:val="sub7"/>
    <w:qFormat/>
    <w:pPr>
      <w:ind w:firstLine="3787" w:start="0" w:end="0"/>
    </w:pPr>
    <w:rPr/>
  </w:style>
  <w:style w:type="paragraph" w:styleId="Quote2">
    <w:name w:val="Quote2"/>
    <w:basedOn w:val="quote"/>
    <w:qFormat/>
    <w:pPr>
      <w:ind w:hanging="0" w:start="1440" w:end="126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ab@cpuc.ca.gov" TargetMode="External"/><Relationship Id="rId4" Type="http://schemas.openxmlformats.org/officeDocument/2006/relationships/hyperlink" Target="mailto:anw@cpuc.ca.gov"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Decision-I 7-24-00</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2001-06-18T15:51:00Z</dcterms:created>
  <dc:creator>Fannie Sid</dc:creator>
  <dc:description/>
  <dc:language>en-CA</dc:language>
  <cp:lastModifiedBy>Tamara Johnson</cp:lastModifiedBy>
  <cp:lastPrinted>2001-06-15T15:32:00Z</cp:lastPrinted>
  <dcterms:modified xsi:type="dcterms:W3CDTF">2001-06-18T15:51:00Z</dcterms:modified>
  <cp:revision>2</cp:revision>
  <dc:subject/>
  <dc:title>Decision 			</dc:title>
</cp:coreProperties>
</file>