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rPr>
          <w:bCs/>
          <w:smallCaps/>
          <w:sz w:val="28"/>
        </w:rPr>
      </w:pPr>
      <w:r>
        <w:rPr>
          <w:bCs/>
          <w:smallCaps/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 xml:space="preserve">One Whitehall Place 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8:00 AM</w:t>
        <w:tab/>
        <w:t xml:space="preserve">Registration and Continental Breakfast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8:45 AM</w:t>
        <w:tab/>
        <w:t xml:space="preserve">Introduction and Welcoming Remarks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i/>
          <w:iCs/>
          <w:sz w:val="22"/>
        </w:rPr>
        <w:t xml:space="preserve">  </w:t>
      </w:r>
      <w:r>
        <w:rPr>
          <w:b/>
          <w:sz w:val="22"/>
        </w:rPr>
        <w:t>9:00 AM</w:t>
      </w:r>
      <w:r>
        <w:rPr>
          <w:b/>
          <w:bCs/>
          <w:sz w:val="22"/>
        </w:rPr>
        <w:tab/>
      </w:r>
      <w:r>
        <w:rPr>
          <w:b/>
          <w:sz w:val="22"/>
        </w:rPr>
        <w:t>Overview of Energy and Developing Markets</w:t>
      </w:r>
    </w:p>
    <w:p>
      <w:pPr>
        <w:pStyle w:val="Normal"/>
        <w:ind w:firstLine="180" w:start="180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2430" w:leader="none"/>
        </w:tabs>
        <w:ind w:hanging="720" w:start="2880" w:end="0"/>
        <w:rPr>
          <w:b/>
          <w:sz w:val="22"/>
        </w:rPr>
      </w:pPr>
      <w:r>
        <w:rPr>
          <w:sz w:val="22"/>
        </w:rPr>
        <w:t>The Evolution of OTC and Exchange-Traded Energy Derivatives</w:t>
      </w:r>
      <w:r>
        <w:rPr>
          <w:b/>
          <w:sz w:val="22"/>
        </w:rPr>
        <w:t xml:space="preserve"> </w:t>
      </w:r>
    </w:p>
    <w:p>
      <w:pPr>
        <w:pStyle w:val="Normal"/>
        <w:tabs>
          <w:tab w:val="clear" w:pos="720"/>
          <w:tab w:val="left" w:pos="1620" w:leader="none"/>
          <w:tab w:val="left" w:pos="2430" w:leader="none"/>
          <w:tab w:val="left" w:pos="2700" w:leader="none"/>
        </w:tabs>
        <w:ind w:start="2061" w:end="0"/>
        <w:rPr>
          <w:b/>
          <w:sz w:val="22"/>
        </w:rPr>
      </w:pPr>
      <w:r>
        <w:rPr>
          <w:b/>
          <w:sz w:val="22"/>
        </w:rPr>
        <w:tab/>
        <w:t xml:space="preserve">  </w:t>
      </w:r>
      <w:r>
        <w:rPr>
          <w:sz w:val="22"/>
        </w:rPr>
        <w:t>Refined Products/Oil, Electricity and Natural Gas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270" w:start="2430" w:end="0"/>
        <w:rPr>
          <w:b/>
          <w:sz w:val="22"/>
        </w:rPr>
      </w:pPr>
      <w:r>
        <w:rPr>
          <w:sz w:val="22"/>
        </w:rPr>
        <w:t>The Different Types and Structures of Energy Derivatives Today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270" w:start="2430" w:end="0"/>
        <w:rPr>
          <w:b/>
          <w:sz w:val="22"/>
        </w:rPr>
      </w:pPr>
      <w:r>
        <w:rPr>
          <w:sz w:val="22"/>
        </w:rPr>
        <w:t>Who Uses Energy Derivatives and Why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bCs/>
          <w:sz w:val="22"/>
        </w:rPr>
        <w:t xml:space="preserve">  </w:t>
      </w:r>
      <w:r>
        <w:rPr>
          <w:b/>
          <w:sz w:val="22"/>
        </w:rPr>
        <w:t>9:30 AM</w:t>
        <w:tab/>
        <w:t>Panel Discussion on Recent Events and the Growth of New Products</w:t>
      </w:r>
    </w:p>
    <w:p>
      <w:pPr>
        <w:pStyle w:val="Normal"/>
        <w:ind w:hanging="540" w:start="21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German Energy Markets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New and Developing Products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UK Gas and Power Markets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>10:15 AM</w:t>
        <w:tab/>
        <w:t xml:space="preserve">Morning Break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10:45 AM</w:t>
        <w:tab/>
        <w:t>E-Commerce Panel Discussion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sz w:val="22"/>
        </w:rPr>
        <w:tab/>
        <w:tab/>
      </w:r>
      <w:r>
        <w:rPr>
          <w:i/>
          <w:iCs/>
          <w:sz w:val="22"/>
        </w:rPr>
        <w:t>Issues to be discussed include: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Why Some Platforms are Successful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The Impact of E-trading on Standardized Documentation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Future Challenges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b/>
          <w:sz w:val="22"/>
        </w:rPr>
        <w:t>11:30 AM</w:t>
        <w:tab/>
        <w:t xml:space="preserve">Public Policy Issues in Europe 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sz w:val="22"/>
        </w:rPr>
        <w:tab/>
        <w:tab/>
      </w:r>
      <w:r>
        <w:rPr>
          <w:i/>
          <w:iCs/>
          <w:sz w:val="22"/>
        </w:rPr>
        <w:t>Issues to be discussed include: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Market Abuse Directive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FSA Consultation Paper for Energy and Oil Market Participants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ISD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Local Market Issues</w:t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12:00 PM</w:t>
        <w:tab/>
        <w:t>Convergence of Commodity Trading Forms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4"/>
        <w:tabs>
          <w:tab w:val="clear" w:pos="720"/>
          <w:tab w:val="left" w:pos="2340" w:leader="none"/>
        </w:tabs>
        <w:ind w:start="1980" w:end="0"/>
        <w:rPr>
          <w:iCs/>
          <w:sz w:val="22"/>
        </w:rPr>
      </w:pPr>
      <w:r>
        <w:rPr>
          <w:iCs/>
          <w:sz w:val="22"/>
        </w:rPr>
        <w:t>Issues to be discussed include: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How to Deal with Different Standardized Documentation in Europe for Similar Products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Benefits of Using a Bridge or Annexes to a Single Master Agreement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430" w:end="0"/>
        <w:rPr>
          <w:b/>
          <w:sz w:val="22"/>
        </w:rPr>
      </w:pPr>
      <w:r>
        <w:rPr>
          <w:sz w:val="22"/>
        </w:rPr>
        <w:t xml:space="preserve">Physical versus Financial </w:t>
      </w:r>
    </w:p>
    <w:p>
      <w:pPr>
        <w:pStyle w:val="Normal"/>
        <w:ind w:start="216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iCs/>
          <w:sz w:val="22"/>
        </w:rPr>
      </w:pPr>
      <w:r>
        <w:rPr>
          <w:b/>
          <w:sz w:val="22"/>
        </w:rPr>
        <w:t>12:45 PM</w:t>
        <w:tab/>
        <w:t xml:space="preserve">Luncheon </w:t>
      </w:r>
      <w:r>
        <w:br w:type="page"/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ind w:hanging="720" w:start="720" w:end="0"/>
        <w:rPr/>
      </w:pPr>
      <w:r>
        <w:rPr>
          <w:b/>
        </w:rPr>
        <w:t>Note:</w:t>
        <w:tab/>
        <w:t>After lunch, starting at 2:00 PM, there will be two sessions with a variety of topics.  Delegates may select one workshop topic during each session</w:t>
      </w:r>
      <w:r>
        <w:rPr/>
        <w:t xml:space="preserve">.  </w:t>
      </w:r>
      <w:r>
        <w:rPr>
          <w:b/>
        </w:rPr>
        <w:t xml:space="preserve"> </w:t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</w:tabs>
        <w:rPr>
          <w:b/>
          <w:i w:val="false"/>
          <w:i w:val="false"/>
          <w:caps/>
          <w:sz w:val="22"/>
        </w:rPr>
      </w:pPr>
      <w:r>
        <w:rPr>
          <w:b/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</w:tabs>
        <w:rPr/>
      </w:pPr>
      <w:r>
        <w:rPr>
          <w:i w:val="false"/>
          <w:caps/>
          <w:sz w:val="22"/>
        </w:rPr>
        <w:t xml:space="preserve">  </w:t>
      </w:r>
      <w:r>
        <w:rPr>
          <w:b/>
          <w:i w:val="false"/>
          <w:caps/>
          <w:sz w:val="22"/>
        </w:rPr>
        <w:t>2:00 PM</w:t>
        <w:tab/>
      </w:r>
      <w:r>
        <w:rPr>
          <w:rFonts w:cs="Times" w:ascii="Times" w:hAnsi="Times"/>
          <w:b/>
          <w:i w:val="false"/>
          <w:smallCaps/>
          <w:sz w:val="22"/>
        </w:rPr>
        <w:t>Session One</w:t>
      </w:r>
      <w:r>
        <w:rPr>
          <w:b/>
          <w:i w:val="false"/>
          <w:sz w:val="22"/>
        </w:rPr>
        <w:t xml:space="preserve"> (2:00 – 3:15 PM):  </w:t>
      </w:r>
      <w:r>
        <w:rPr>
          <w:bCs/>
          <w:i w:val="false"/>
          <w:sz w:val="22"/>
        </w:rPr>
        <w:t>Delegates may select one workshop topic for session one.</w:t>
      </w:r>
      <w:r>
        <w:rPr>
          <w:b/>
          <w:i w:val="false"/>
          <w:sz w:val="22"/>
        </w:rPr>
        <w:t xml:space="preserve">   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sz w:val="22"/>
        </w:rPr>
      </w:pPr>
      <w:r>
        <w:rPr>
          <w:b/>
          <w:bCs/>
          <w:i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rFonts w:cs="Times" w:ascii="Times" w:hAnsi="Times"/>
          <w:b/>
          <w:bCs/>
          <w:smallCaps/>
          <w:sz w:val="22"/>
        </w:rPr>
        <w:t>Workshop</w:t>
      </w:r>
      <w:r>
        <w:rPr>
          <w:b/>
          <w:bCs/>
          <w:sz w:val="22"/>
        </w:rPr>
        <w:t xml:space="preserve"> 1.</w:t>
        <w:tab/>
        <w:t xml:space="preserve">Collateralization of Physical Gas and Electricity Transactions Under the 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b/>
          <w:bCs/>
          <w:sz w:val="22"/>
        </w:rPr>
        <w:tab/>
        <w:t xml:space="preserve">  Credit Support Annex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/>
      </w:pPr>
      <w:r>
        <w:rPr>
          <w:rFonts w:cs="Times" w:ascii="Times" w:hAnsi="Times"/>
          <w:smallCaps/>
          <w:sz w:val="22"/>
        </w:rPr>
        <w:t xml:space="preserve">Workshop </w:t>
      </w:r>
      <w:r>
        <w:rPr>
          <w:sz w:val="22"/>
        </w:rPr>
        <w:t>2.</w:t>
        <w:tab/>
        <w:t>Documenting Energy and Power Derivatives Under the 1992 ISDA Master Agreements</w:t>
      </w:r>
    </w:p>
    <w:p>
      <w:pPr>
        <w:pStyle w:val="BodyTextIndent"/>
        <w:tabs>
          <w:tab w:val="clear" w:pos="720"/>
          <w:tab w:val="left" w:pos="1620" w:leader="none"/>
          <w:tab w:val="left" w:pos="1980" w:leader="none"/>
        </w:tabs>
        <w:ind w:start="1620" w:end="0"/>
        <w:rPr>
          <w:i/>
          <w:i/>
        </w:rPr>
      </w:pPr>
      <w:r>
        <w:rPr>
          <w:i/>
        </w:rPr>
        <w:t xml:space="preserve">This workshop, repeated in session two, is for attendees who are interested in a more in-depth understanding of the ISDA Master Agreement and how it can be used to document energy and </w:t>
      </w:r>
    </w:p>
    <w:p>
      <w:pPr>
        <w:pStyle w:val="BodyTextIndent"/>
        <w:tabs>
          <w:tab w:val="clear" w:pos="720"/>
          <w:tab w:val="left" w:pos="1620" w:leader="none"/>
        </w:tabs>
        <w:ind w:start="1440" w:end="0"/>
        <w:rPr>
          <w:i/>
          <w:i/>
        </w:rPr>
      </w:pPr>
      <w:r>
        <w:rPr>
          <w:i/>
        </w:rPr>
        <w:tab/>
        <w:t>power derivatives.</w:t>
      </w:r>
    </w:p>
    <w:p>
      <w:pPr>
        <w:pStyle w:val="Normal"/>
        <w:tabs>
          <w:tab w:val="clear" w:pos="720"/>
          <w:tab w:val="left" w:pos="1620" w:leader="none"/>
        </w:tabs>
        <w:rPr>
          <w:bCs/>
          <w:i/>
          <w:i/>
          <w:iCs/>
          <w:sz w:val="22"/>
          <w:u w:val="single"/>
        </w:rPr>
      </w:pPr>
      <w:r>
        <w:rPr>
          <w:b/>
          <w:i/>
          <w:sz w:val="22"/>
        </w:rPr>
        <w:tab/>
      </w:r>
      <w:r>
        <w:rPr>
          <w:b/>
          <w:sz w:val="22"/>
        </w:rPr>
        <w:tab/>
      </w:r>
    </w:p>
    <w:p>
      <w:pPr>
        <w:pStyle w:val="Heading9"/>
        <w:tabs>
          <w:tab w:val="clear" w:pos="720"/>
          <w:tab w:val="left" w:pos="1620" w:leader="none"/>
        </w:tabs>
        <w:ind w:hanging="180" w:start="2340" w:end="0"/>
        <w:rPr>
          <w:sz w:val="22"/>
        </w:rPr>
      </w:pPr>
      <w:r>
        <w:rPr>
          <w:sz w:val="22"/>
        </w:rPr>
        <w:t>An Overview of the Architecture of the 1992 ISDA Master Agreements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900" w:leader="none"/>
          <w:tab w:val="left" w:pos="1620" w:leader="none"/>
        </w:tabs>
        <w:ind w:hanging="270" w:start="3150" w:end="0"/>
        <w:rPr>
          <w:sz w:val="22"/>
        </w:rPr>
      </w:pPr>
      <w:r>
        <w:rPr>
          <w:sz w:val="22"/>
        </w:rPr>
        <w:t>Definitions and Confirmations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1620" w:leader="none"/>
        </w:tabs>
        <w:ind w:hanging="270" w:start="3150" w:end="0"/>
        <w:rPr>
          <w:sz w:val="22"/>
        </w:rPr>
      </w:pPr>
      <w:r>
        <w:rPr>
          <w:sz w:val="22"/>
        </w:rPr>
        <w:t>User’s Guide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1620" w:leader="none"/>
        </w:tabs>
        <w:ind w:hanging="270" w:start="3150" w:end="0"/>
        <w:rPr>
          <w:sz w:val="22"/>
        </w:rPr>
      </w:pPr>
      <w:r>
        <w:rPr>
          <w:sz w:val="22"/>
        </w:rPr>
        <w:t>Recent Developments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1620" w:leader="none"/>
        </w:tabs>
        <w:ind w:hanging="270" w:start="3150" w:end="0"/>
        <w:rPr>
          <w:sz w:val="22"/>
        </w:rPr>
      </w:pPr>
      <w:r>
        <w:rPr>
          <w:sz w:val="22"/>
        </w:rPr>
        <w:t xml:space="preserve">Conflict of Law Issues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6"/>
        <w:ind w:firstLine="720" w:end="0"/>
        <w:rPr>
          <w:sz w:val="22"/>
        </w:rPr>
      </w:pPr>
      <w:r>
        <w:rPr>
          <w:sz w:val="22"/>
        </w:rPr>
        <w:t>Mastering the 1992 ISDA Master Agreements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7"/>
        <w:numPr>
          <w:ilvl w:val="0"/>
          <w:numId w:val="7"/>
        </w:numPr>
        <w:tabs>
          <w:tab w:val="left" w:pos="2160" w:leader="none"/>
          <w:tab w:val="left" w:pos="3780" w:leader="none"/>
        </w:tabs>
        <w:rPr>
          <w:sz w:val="22"/>
        </w:rPr>
      </w:pPr>
      <w:r>
        <w:rPr>
          <w:sz w:val="22"/>
        </w:rPr>
        <w:t>The Basics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780" w:leader="none"/>
          <w:tab w:val="left" w:pos="4050" w:leader="none"/>
        </w:tabs>
        <w:ind w:hanging="0" w:start="3780" w:end="0"/>
        <w:rPr>
          <w:sz w:val="22"/>
        </w:rPr>
      </w:pPr>
      <w:r>
        <w:rPr>
          <w:sz w:val="22"/>
        </w:rPr>
        <w:t>Payment Mechanics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rPr>
          <w:sz w:val="22"/>
        </w:rPr>
      </w:pPr>
      <w:r>
        <w:rPr>
          <w:sz w:val="22"/>
        </w:rPr>
        <w:t>Representations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rPr>
          <w:sz w:val="22"/>
        </w:rPr>
      </w:pPr>
      <w:r>
        <w:rPr>
          <w:sz w:val="22"/>
        </w:rPr>
        <w:t>Agreements</w:t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2250" w:leader="none"/>
        </w:tabs>
        <w:ind w:hanging="360" w:start="3780" w:end="0"/>
        <w:rPr>
          <w:sz w:val="22"/>
        </w:rPr>
      </w:pPr>
      <w:r>
        <w:rPr>
          <w:sz w:val="22"/>
        </w:rPr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3780" w:leader="none"/>
        </w:tabs>
        <w:ind w:hanging="0" w:start="3420" w:end="0"/>
        <w:rPr>
          <w:sz w:val="22"/>
        </w:rPr>
      </w:pPr>
      <w:r>
        <w:rPr>
          <w:sz w:val="22"/>
        </w:rPr>
        <w:t>B.</w:t>
        <w:tab/>
        <w:t xml:space="preserve">Early Termination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jc w:val="both"/>
        <w:rPr>
          <w:sz w:val="22"/>
        </w:rPr>
      </w:pPr>
      <w:r>
        <w:rPr>
          <w:sz w:val="22"/>
        </w:rPr>
        <w:t>Events of Default/Termination Events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jc w:val="both"/>
        <w:rPr>
          <w:sz w:val="22"/>
        </w:rPr>
      </w:pPr>
      <w:r>
        <w:rPr>
          <w:sz w:val="22"/>
        </w:rPr>
        <w:t>Termination Mechanics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jc w:val="both"/>
        <w:rPr>
          <w:sz w:val="22"/>
        </w:rPr>
      </w:pPr>
      <w:r>
        <w:rPr>
          <w:sz w:val="22"/>
        </w:rPr>
        <w:t>Calculating Settlement Amounts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700" w:leader="none"/>
          <w:tab w:val="left" w:pos="4050" w:leader="none"/>
        </w:tabs>
        <w:ind w:hanging="0" w:start="3780" w:end="0"/>
        <w:jc w:val="both"/>
        <w:rPr>
          <w:sz w:val="22"/>
        </w:rPr>
      </w:pPr>
      <w:r>
        <w:rPr>
          <w:sz w:val="22"/>
        </w:rPr>
        <w:t>Bankruptcy/Insolvency: Netting and Regulatory Aspects</w:t>
      </w:r>
    </w:p>
    <w:p>
      <w:pPr>
        <w:pStyle w:val="Normal"/>
        <w:tabs>
          <w:tab w:val="clear" w:pos="720"/>
          <w:tab w:val="left" w:pos="1620" w:leader="none"/>
        </w:tabs>
        <w:ind w:hanging="360" w:start="378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3:15 PM</w:t>
        <w:tab/>
        <w:t xml:space="preserve">Afternoon Break 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/>
      </w:pPr>
      <w:r>
        <w:rPr>
          <w:b/>
          <w:sz w:val="22"/>
        </w:rPr>
        <w:t xml:space="preserve">  </w:t>
      </w:r>
      <w:r>
        <w:rPr>
          <w:b/>
          <w:sz w:val="22"/>
        </w:rPr>
        <w:t>3:45 PM</w:t>
        <w:tab/>
      </w:r>
      <w:r>
        <w:rPr>
          <w:rFonts w:cs="Times" w:ascii="Times" w:hAnsi="Times"/>
          <w:b/>
          <w:smallCaps/>
          <w:sz w:val="22"/>
        </w:rPr>
        <w:t>Session Two</w:t>
      </w:r>
      <w:r>
        <w:rPr>
          <w:b/>
          <w:sz w:val="22"/>
        </w:rPr>
        <w:t xml:space="preserve"> (3:45 </w:t>
      </w:r>
      <w:r>
        <w:rPr>
          <w:b/>
          <w:i/>
          <w:sz w:val="22"/>
        </w:rPr>
        <w:t xml:space="preserve">– </w:t>
      </w:r>
      <w:r>
        <w:rPr>
          <w:b/>
          <w:sz w:val="22"/>
        </w:rPr>
        <w:t xml:space="preserve">5:00 PM):  </w:t>
      </w:r>
      <w:r>
        <w:rPr>
          <w:bCs/>
          <w:sz w:val="22"/>
        </w:rPr>
        <w:t>Delegates may select one workshop topic for session two.</w:t>
      </w:r>
      <w:r>
        <w:rPr>
          <w:sz w:val="22"/>
        </w:rPr>
        <w:t xml:space="preserve"> </w:t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sz w:val="22"/>
        </w:rPr>
      </w:pPr>
      <w:r>
        <w:rPr>
          <w:rFonts w:cs="Times" w:ascii="Times" w:hAnsi="Times"/>
          <w:b/>
          <w:bCs/>
          <w:smallCaps/>
          <w:sz w:val="22"/>
        </w:rPr>
        <w:t>Workshop</w:t>
      </w:r>
      <w:r>
        <w:rPr>
          <w:b/>
          <w:bCs/>
          <w:sz w:val="22"/>
        </w:rPr>
        <w:t xml:space="preserve"> 1.</w:t>
        <w:tab/>
        <w:t>Energy Market Issues in Continental Europe</w:t>
      </w:r>
    </w:p>
    <w:p>
      <w:pPr>
        <w:pStyle w:val="Heading5"/>
        <w:tabs>
          <w:tab w:val="clear" w:pos="720"/>
          <w:tab w:val="left" w:pos="180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</w:t>
      </w:r>
    </w:p>
    <w:p>
      <w:pPr>
        <w:pStyle w:val="Heading5"/>
        <w:tabs>
          <w:tab w:val="clear" w:pos="720"/>
          <w:tab w:val="left" w:pos="1800" w:leader="none"/>
        </w:tabs>
        <w:ind w:hanging="0" w:start="0"/>
        <w:rPr/>
      </w:pPr>
      <w:r>
        <w:rPr>
          <w:rFonts w:cs="Times" w:ascii="Times" w:hAnsi="Times"/>
          <w:smallCaps/>
          <w:sz w:val="22"/>
        </w:rPr>
        <w:t>Workshop 2.</w:t>
      </w:r>
      <w:r>
        <w:rPr>
          <w:sz w:val="22"/>
        </w:rPr>
        <w:tab/>
        <w:t>Documenting Energy and Power Derivatives Under the 1992 ISDA Master Agreements</w:t>
      </w:r>
    </w:p>
    <w:p>
      <w:pPr>
        <w:pStyle w:val="Normal"/>
        <w:tabs>
          <w:tab w:val="clear" w:pos="720"/>
          <w:tab w:val="left" w:pos="1800" w:leader="none"/>
        </w:tabs>
        <w:ind w:start="1080" w:end="0"/>
        <w:rPr/>
      </w:pPr>
      <w:r>
        <w:rPr>
          <w:sz w:val="22"/>
        </w:rPr>
        <w:tab/>
      </w:r>
      <w:r>
        <w:rPr>
          <w:i/>
          <w:sz w:val="22"/>
        </w:rPr>
        <w:t>This workshop is a repeat of workshop 2 in session one.</w:t>
      </w:r>
    </w:p>
    <w:p>
      <w:pPr>
        <w:pStyle w:val="Heading3"/>
        <w:ind w:hanging="0" w:start="0"/>
        <w:rPr>
          <w:b w:val="false"/>
          <w:i/>
          <w:i/>
          <w:sz w:val="22"/>
        </w:rPr>
      </w:pPr>
      <w:r>
        <w:rPr>
          <w:b w:val="false"/>
          <w:i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/>
      </w:pPr>
      <w:r>
        <w:rPr>
          <w:bCs/>
          <w:sz w:val="22"/>
        </w:rPr>
        <w:t xml:space="preserve">  </w:t>
      </w:r>
      <w:r>
        <w:rPr>
          <w:b/>
          <w:sz w:val="22"/>
        </w:rPr>
        <w:t>5:00 PM</w:t>
        <w:tab/>
        <w:t>Conference Concludes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i/>
          <w:i/>
          <w:iCs/>
          <w:sz w:val="22"/>
        </w:rPr>
      </w:pPr>
      <w:r>
        <w:rPr>
          <w:b/>
          <w:i/>
          <w:iCs/>
          <w:sz w:val="22"/>
        </w:rPr>
        <w:t>Agenda is subject to change</w:t>
      </w:r>
    </w:p>
    <w:sectPr>
      <w:type w:val="nextPage"/>
      <w:pgSz w:w="12240" w:h="15840"/>
      <w:pgMar w:left="864" w:right="864" w:gutter="0" w:header="0" w:top="720" w:footer="0" w:bottom="576"/>
      <w:pgBorders w:display="allPages" w:offsetFrom="text">
        <w:top w:val="single" w:sz="18" w:space="10" w:color="000000"/>
        <w:left w:val="single" w:sz="18" w:space="17" w:color="000000"/>
        <w:bottom w:val="single" w:sz="18" w:space="3" w:color="000000"/>
        <w:right w:val="single" w:sz="18" w:space="17" w:color="000000"/>
      </w:pgBorders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28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421"/>
        </w:tabs>
        <w:ind w:start="2421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780"/>
        </w:tabs>
        <w:ind w:start="378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11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11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b/>
      <w:i w:val="false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Times New Roman" w:hAnsi="Times New Roman" w:cs="Times New Roman"/>
      <w:b/>
      <w:i w:val="false"/>
      <w:sz w:val="22"/>
    </w:rPr>
  </w:style>
  <w:style w:type="character" w:styleId="WW8Num28z0">
    <w:name w:val="WW8Num28z0"/>
    <w:qFormat/>
    <w:rPr>
      <w:b/>
      <w:i w:val="false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b/>
      <w:i w:val="false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Times New Roman"/>
      <w:sz w:val="16"/>
      <w:szCs w:val="16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b/>
      <w:i w:val="false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  <w:sz w:val="16"/>
    </w:rPr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Wingdings" w:hAnsi="Wingdings" w:cs="Wingdings"/>
      <w:sz w:val="16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59z0">
    <w:name w:val="WW8Num59z0"/>
    <w:qFormat/>
    <w:rPr/>
  </w:style>
  <w:style w:type="character" w:styleId="WW8Num60z0">
    <w:name w:val="WW8Num60z0"/>
    <w:qFormat/>
    <w:rPr>
      <w:rFonts w:ascii="Wingdings" w:hAnsi="Wingdings" w:cs="Wingdings"/>
      <w:sz w:val="16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9z0">
    <w:name w:val="WW8Num69z0"/>
    <w:qFormat/>
    <w:rPr>
      <w:rFonts w:ascii="Wingdings" w:hAnsi="Wingdings" w:cs="Wingdings"/>
      <w:sz w:val="16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Times New Roman" w:hAnsi="Times New Roman" w:cs="Times New Roman"/>
      <w:b/>
      <w:i w:val="false"/>
      <w:sz w:val="22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2">
    <w:name w:val="WW8Num77z2"/>
    <w:qFormat/>
    <w:rPr>
      <w:rFonts w:ascii="Wingdings" w:hAnsi="Wingdings" w:cs="Wingdings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9z0">
    <w:name w:val="WW8Num79z0"/>
    <w:qFormat/>
    <w:rPr>
      <w:rFonts w:ascii="Wingdings" w:hAnsi="Wingdings" w:cs="Wingdings"/>
      <w:sz w:val="16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Wingdings" w:hAnsi="Wingdings" w:cs="Wingdings"/>
      <w:sz w:val="16"/>
    </w:rPr>
  </w:style>
  <w:style w:type="character" w:styleId="WW8Num83z0">
    <w:name w:val="WW8Num83z0"/>
    <w:qFormat/>
    <w:rPr>
      <w:b/>
      <w:i w:val="false"/>
    </w:rPr>
  </w:style>
  <w:style w:type="character" w:styleId="WW8Num84z0">
    <w:name w:val="WW8Num84z0"/>
    <w:qFormat/>
    <w:rPr>
      <w:rFonts w:ascii="Wingdings" w:hAnsi="Wingdings" w:cs="Times New Roman"/>
      <w:sz w:val="16"/>
      <w:szCs w:val="16"/>
    </w:rPr>
  </w:style>
  <w:style w:type="character" w:styleId="WW8Num84z1">
    <w:name w:val="WW8Num84z1"/>
    <w:qFormat/>
    <w:rPr>
      <w:rFonts w:ascii="Courier New" w:hAnsi="Courier New" w:cs="Courier New"/>
    </w:rPr>
  </w:style>
  <w:style w:type="character" w:styleId="WW8Num84z2">
    <w:name w:val="WW8Num84z2"/>
    <w:qFormat/>
    <w:rPr>
      <w:rFonts w:ascii="Wingdings" w:hAnsi="Wingdings" w:cs="Wingdings"/>
    </w:rPr>
  </w:style>
  <w:style w:type="character" w:styleId="WW8Num84z3">
    <w:name w:val="WW8Num84z3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/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162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180" w:start="1440" w:end="0"/>
    </w:pPr>
    <w:rPr>
      <w:b/>
      <w:i/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2001-10-03T17:57:00Z</dcterms:created>
  <dc:creator>Alison Smythe</dc:creator>
  <dc:description/>
  <dc:language>en-CA</dc:language>
  <cp:lastModifiedBy>LOSULLIVAN</cp:lastModifiedBy>
  <cp:lastPrinted>2001-10-03T16:24:00Z</cp:lastPrinted>
  <dcterms:modified xsi:type="dcterms:W3CDTF">2001-10-04T11:19:00Z</dcterms:modified>
  <cp:revision>7</cp:revision>
  <dc:subject/>
  <dc:title>International Swaps and Derivatives Association, Inc</dc:title>
</cp:coreProperties>
</file>