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ind w:hanging="0" w:start="0"/>
        <w:rPr>
          <w:rFonts w:ascii="Arial Black" w:hAnsi="Arial Black" w:eastAsia="Batang;바탕" w:cs="Arial Black"/>
          <w:sz w:val="28"/>
          <w:u w:val="single"/>
        </w:rPr>
      </w:pPr>
      <w:r>
        <w:rPr>
          <w:rFonts w:eastAsia="Batang;바탕" w:cs="Arial Black" w:ascii="Arial Black" w:hAnsi="Arial Black"/>
          <w:sz w:val="28"/>
          <w:u w:val="single"/>
        </w:rPr>
        <w:t>DRAFT AGENDA</w:t>
      </w:r>
    </w:p>
    <w:p>
      <w:pPr>
        <w:pStyle w:val="Heading3"/>
        <w:ind w:hanging="0" w:start="0"/>
        <w:rPr>
          <w:sz w:val="28"/>
        </w:rPr>
      </w:pPr>
      <w:r>
        <w:rPr>
          <w:sz w:val="28"/>
        </w:rPr>
        <w:t>Energy and Developing Products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December 4,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One Whitehall Place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London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8:00 AM</w:t>
        <w:tab/>
        <w:t xml:space="preserve">Registration and Continental Breakfast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8:45 AM</w:t>
        <w:tab/>
        <w:t xml:space="preserve">Introduction and Welcoming Remarks 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i/>
          <w:iCs/>
          <w:sz w:val="22"/>
        </w:rPr>
        <w:t xml:space="preserve">  </w:t>
      </w:r>
      <w:r>
        <w:rPr>
          <w:b/>
          <w:sz w:val="22"/>
        </w:rPr>
        <w:t>9:00 AM</w:t>
      </w:r>
      <w:r>
        <w:rPr>
          <w:b/>
          <w:bCs/>
          <w:sz w:val="22"/>
        </w:rPr>
        <w:tab/>
      </w:r>
      <w:r>
        <w:rPr>
          <w:b/>
          <w:sz w:val="22"/>
        </w:rPr>
        <w:t>Overview of Energy and Developing Markets</w:t>
      </w:r>
    </w:p>
    <w:p>
      <w:pPr>
        <w:pStyle w:val="Normal"/>
        <w:ind w:firstLine="180" w:start="1800" w:end="0"/>
        <w:rPr>
          <w:b/>
          <w:sz w:val="22"/>
        </w:rPr>
      </w:pPr>
      <w:r>
        <w:rPr>
          <w:b/>
          <w:sz w:val="22"/>
        </w:rPr>
        <w:tab/>
        <w:tab/>
      </w:r>
    </w:p>
    <w:p>
      <w:pPr>
        <w:pStyle w:val="Normal"/>
        <w:ind w:firstLine="180"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620" w:leader="none"/>
          <w:tab w:val="left" w:pos="2430" w:leader="none"/>
        </w:tabs>
        <w:ind w:hanging="720" w:start="2880" w:end="0"/>
        <w:rPr>
          <w:b/>
          <w:sz w:val="22"/>
        </w:rPr>
      </w:pPr>
      <w:r>
        <w:rPr>
          <w:sz w:val="22"/>
        </w:rPr>
        <w:t>The Evolution of OTC and Exchange-Traded Energy Derivatives</w:t>
      </w:r>
      <w:r>
        <w:rPr>
          <w:b/>
          <w:sz w:val="22"/>
        </w:rPr>
        <w:t xml:space="preserve"> </w:t>
      </w:r>
    </w:p>
    <w:p>
      <w:pPr>
        <w:pStyle w:val="Normal"/>
        <w:tabs>
          <w:tab w:val="clear" w:pos="720"/>
          <w:tab w:val="left" w:pos="1620" w:leader="none"/>
          <w:tab w:val="left" w:pos="2700" w:leader="none"/>
        </w:tabs>
        <w:ind w:start="2061" w:end="0"/>
        <w:rPr>
          <w:b/>
          <w:sz w:val="22"/>
        </w:rPr>
      </w:pPr>
      <w:r>
        <w:rPr>
          <w:b/>
          <w:sz w:val="22"/>
        </w:rPr>
        <w:tab/>
      </w:r>
      <w:r>
        <w:rPr>
          <w:sz w:val="22"/>
        </w:rPr>
        <w:t>Refined Products/Oil, Electricity and Natural Gas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270" w:start="2430" w:end="0"/>
        <w:rPr>
          <w:b/>
          <w:sz w:val="22"/>
        </w:rPr>
      </w:pPr>
      <w:r>
        <w:rPr>
          <w:sz w:val="22"/>
        </w:rPr>
        <w:t>The Different Types and Structures of Energy Derivatives Today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270" w:start="2430" w:end="0"/>
        <w:rPr>
          <w:b/>
          <w:sz w:val="22"/>
        </w:rPr>
      </w:pPr>
      <w:r>
        <w:rPr>
          <w:sz w:val="22"/>
        </w:rPr>
        <w:t>Who Uses Energy Derivatives and Why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b/>
          <w:bCs/>
          <w:sz w:val="22"/>
        </w:rPr>
        <w:t xml:space="preserve">  </w:t>
      </w:r>
      <w:r>
        <w:rPr>
          <w:b/>
          <w:sz w:val="22"/>
        </w:rPr>
        <w:t>9:30 AM</w:t>
        <w:tab/>
        <w:t>Panel Discussion on Recent Events and the Growth of New Products</w:t>
      </w:r>
    </w:p>
    <w:p>
      <w:pPr>
        <w:pStyle w:val="Normal"/>
        <w:ind w:hanging="540" w:start="216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firstLine="180"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California Energy Litigation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German Energy Markets</w:t>
      </w:r>
    </w:p>
    <w:p>
      <w:pPr>
        <w:pStyle w:val="Normal"/>
        <w:numPr>
          <w:ilvl w:val="0"/>
          <w:numId w:val="11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New and Developing Products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sz w:val="22"/>
        </w:rPr>
        <w:t>10:15 AM</w:t>
        <w:tab/>
        <w:t xml:space="preserve">Morning Break </w:t>
      </w:r>
    </w:p>
    <w:p>
      <w:pPr>
        <w:pStyle w:val="Normal"/>
        <w:tabs>
          <w:tab w:val="clear" w:pos="720"/>
          <w:tab w:val="left" w:pos="1620" w:leader="none"/>
        </w:tabs>
        <w:rPr>
          <w:b/>
          <w:bCs/>
          <w:i/>
          <w:i/>
          <w:iCs/>
          <w:sz w:val="22"/>
        </w:rPr>
      </w:pPr>
      <w:r>
        <w:rPr>
          <w:b/>
          <w:bCs/>
          <w:i/>
          <w:i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10:45 AM</w:t>
        <w:tab/>
        <w:t>E-Commerce Panel Discussion</w:t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b/>
          <w:sz w:val="22"/>
        </w:rPr>
        <w:t>11:30 AM</w:t>
        <w:tab/>
        <w:t xml:space="preserve">Public Policy Issues in Europe </w:t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620" w:leader="none"/>
          <w:tab w:val="left" w:pos="1980" w:leader="none"/>
        </w:tabs>
        <w:rPr/>
      </w:pPr>
      <w:r>
        <w:rPr>
          <w:sz w:val="22"/>
        </w:rPr>
        <w:tab/>
        <w:tab/>
      </w:r>
      <w:r>
        <w:rPr>
          <w:i/>
          <w:iCs/>
          <w:sz w:val="22"/>
        </w:rPr>
        <w:t>Issues to be discussed include: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620" w:leader="none"/>
        </w:tabs>
        <w:ind w:hanging="270" w:start="2430" w:end="0"/>
        <w:rPr>
          <w:sz w:val="22"/>
        </w:rPr>
      </w:pPr>
      <w:r>
        <w:rPr>
          <w:sz w:val="22"/>
        </w:rPr>
        <w:t>Market Abuse Directive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FSA Consultation Paper for energy and oil market participants</w:t>
      </w:r>
    </w:p>
    <w:p>
      <w:pPr>
        <w:pStyle w:val="Normal"/>
        <w:numPr>
          <w:ilvl w:val="0"/>
          <w:numId w:val="15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Local Issues (?)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</w:r>
    </w:p>
    <w:p>
      <w:pPr>
        <w:pStyle w:val="Normal"/>
        <w:rPr>
          <w:sz w:val="22"/>
        </w:rPr>
      </w:pPr>
      <w:r>
        <w:rPr>
          <w:i/>
          <w:sz w:val="22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  <w:t>12:00 PM</w:t>
        <w:tab/>
        <w:t>Convergence of Commodity Trading Forms</w:t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Heading4"/>
        <w:tabs>
          <w:tab w:val="clear" w:pos="720"/>
          <w:tab w:val="left" w:pos="2340" w:leader="none"/>
        </w:tabs>
        <w:ind w:start="1980" w:end="0"/>
        <w:rPr>
          <w:iCs/>
          <w:sz w:val="22"/>
        </w:rPr>
      </w:pPr>
      <w:r>
        <w:rPr>
          <w:iCs/>
          <w:sz w:val="22"/>
        </w:rPr>
        <w:t>Issues to be discussed include:</w:t>
      </w:r>
    </w:p>
    <w:p>
      <w:pPr>
        <w:pStyle w:val="Heading4"/>
        <w:numPr>
          <w:ilvl w:val="0"/>
          <w:numId w:val="5"/>
        </w:numPr>
        <w:tabs>
          <w:tab w:val="clear" w:pos="720"/>
        </w:tabs>
        <w:ind w:hanging="270" w:start="2430" w:end="0"/>
        <w:rPr>
          <w:i w:val="false"/>
          <w:i w:val="false"/>
          <w:sz w:val="22"/>
        </w:rPr>
      </w:pPr>
      <w:r>
        <w:rPr>
          <w:i w:val="false"/>
          <w:sz w:val="22"/>
        </w:rPr>
        <w:t>Review of standardized documentation in North America and Europe</w:t>
      </w:r>
    </w:p>
    <w:p>
      <w:pPr>
        <w:pStyle w:val="Normal"/>
        <w:numPr>
          <w:ilvl w:val="0"/>
          <w:numId w:val="5"/>
        </w:numPr>
        <w:tabs>
          <w:tab w:val="clear" w:pos="720"/>
        </w:tabs>
        <w:ind w:hanging="270" w:start="2430" w:end="0"/>
        <w:rPr>
          <w:sz w:val="22"/>
        </w:rPr>
      </w:pPr>
      <w:r>
        <w:rPr>
          <w:sz w:val="22"/>
        </w:rPr>
        <w:t>Benefits of using a bridge or annexes to a single master agreement</w:t>
      </w:r>
    </w:p>
    <w:p>
      <w:pPr>
        <w:pStyle w:val="Normal"/>
        <w:ind w:start="216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i/>
          <w:i/>
          <w:iCs/>
          <w:sz w:val="22"/>
        </w:rPr>
      </w:pPr>
      <w:r>
        <w:rPr>
          <w:b/>
          <w:sz w:val="22"/>
        </w:rPr>
        <w:t>12:45 PM</w:t>
        <w:tab/>
        <w:t xml:space="preserve">Luncheon </w:t>
      </w:r>
      <w:r>
        <w:br w:type="page"/>
      </w:r>
    </w:p>
    <w:p>
      <w:pPr>
        <w:pStyle w:val="Heading3"/>
        <w:ind w:hanging="0" w:start="0"/>
        <w:rPr>
          <w:rFonts w:ascii="Arial Black" w:hAnsi="Arial Black" w:eastAsia="Batang;바탕" w:cs="Arial Black"/>
          <w:sz w:val="28"/>
          <w:u w:val="single"/>
        </w:rPr>
      </w:pPr>
      <w:r>
        <w:rPr>
          <w:rFonts w:eastAsia="Batang;바탕" w:cs="Arial Black" w:ascii="Arial Black" w:hAnsi="Arial Black"/>
          <w:sz w:val="28"/>
          <w:u w:val="single"/>
        </w:rPr>
        <w:t>DRAFT AGENDA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Energy and Developing Products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December 4,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One Whitehall Place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London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ind w:hanging="720" w:start="720" w:end="0"/>
        <w:rPr/>
      </w:pPr>
      <w:r>
        <w:rPr>
          <w:b/>
          <w:sz w:val="22"/>
        </w:rPr>
        <w:t>Note:</w:t>
        <w:tab/>
        <w:t>After lunch, starting at 2:00 PM, there will be two sessions with a variety of topics.  Delegates may select one workshop topic during each session</w:t>
      </w:r>
      <w:r>
        <w:rPr>
          <w:sz w:val="22"/>
        </w:rPr>
        <w:t xml:space="preserve">.  </w:t>
      </w:r>
      <w:r>
        <w:rPr>
          <w:b/>
          <w:sz w:val="22"/>
        </w:rPr>
        <w:t xml:space="preserve"> </w:t>
      </w:r>
    </w:p>
    <w:p>
      <w:pPr>
        <w:pStyle w:val="BodyText"/>
        <w:pBdr>
          <w:top w:val="nil"/>
          <w:left w:val="nil"/>
          <w:bottom w:val="nil"/>
          <w:right w:val="nil"/>
        </w:pBdr>
        <w:rPr>
          <w:b/>
          <w:i w:val="false"/>
          <w:i w:val="false"/>
          <w:caps/>
          <w:sz w:val="22"/>
        </w:rPr>
      </w:pPr>
      <w:r>
        <w:rPr>
          <w:b/>
          <w:i w:val="false"/>
          <w:caps/>
          <w:sz w:val="22"/>
        </w:rPr>
      </w:r>
    </w:p>
    <w:p>
      <w:pPr>
        <w:pStyle w:val="BodyText"/>
        <w:pBdr>
          <w:top w:val="nil"/>
          <w:left w:val="nil"/>
          <w:bottom w:val="nil"/>
          <w:right w:val="nil"/>
        </w:pBdr>
        <w:rPr>
          <w:i w:val="false"/>
          <w:i w:val="false"/>
          <w:caps/>
          <w:sz w:val="22"/>
        </w:rPr>
      </w:pPr>
      <w:r>
        <w:rPr>
          <w:i w:val="false"/>
          <w:caps/>
          <w:sz w:val="22"/>
        </w:rPr>
      </w:r>
    </w:p>
    <w:p>
      <w:pPr>
        <w:pStyle w:val="BodyText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</w:tabs>
        <w:rPr/>
      </w:pPr>
      <w:r>
        <w:rPr>
          <w:i w:val="false"/>
          <w:caps/>
          <w:sz w:val="22"/>
        </w:rPr>
        <w:t xml:space="preserve">  </w:t>
      </w:r>
      <w:r>
        <w:rPr>
          <w:b/>
          <w:i w:val="false"/>
          <w:caps/>
          <w:sz w:val="22"/>
        </w:rPr>
        <w:t>2:00 PM</w:t>
        <w:tab/>
        <w:t>SESSION One</w:t>
      </w:r>
      <w:r>
        <w:rPr>
          <w:b/>
          <w:i w:val="false"/>
          <w:sz w:val="22"/>
        </w:rPr>
        <w:t xml:space="preserve"> (2:00 – 3:15 PM):  Delegates may select one workshop topic for session one.    </w:t>
      </w:r>
    </w:p>
    <w:p>
      <w:pPr>
        <w:pStyle w:val="Normal"/>
        <w:rPr>
          <w:b/>
          <w:bCs/>
          <w:i/>
          <w:i/>
          <w:sz w:val="22"/>
        </w:rPr>
      </w:pPr>
      <w:r>
        <w:rPr>
          <w:b/>
          <w:bCs/>
          <w:i/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sz w:val="22"/>
        </w:rPr>
      </w:pPr>
      <w:r>
        <w:rPr>
          <w:b/>
          <w:bCs/>
          <w:sz w:val="22"/>
        </w:rPr>
        <w:t>Workshop 1.</w:t>
        <w:tab/>
        <w:t>Please recommend a product type(s) for this workshop that is of interest to Europe.</w:t>
      </w:r>
    </w:p>
    <w:p>
      <w:pPr>
        <w:pStyle w:val="Heading5"/>
        <w:tabs>
          <w:tab w:val="clear" w:pos="720"/>
          <w:tab w:val="left" w:pos="1620" w:leader="none"/>
        </w:tabs>
        <w:ind w:hanging="0" w:start="1620" w:end="0"/>
        <w:rPr>
          <w:sz w:val="22"/>
        </w:rPr>
      </w:pPr>
      <w:r>
        <w:rPr>
          <w:b w:val="false"/>
          <w:i/>
          <w:sz w:val="22"/>
        </w:rPr>
        <w:t>Workshop 1 in each session will provide global and regional perspectives on different product types with a focus on business and trading issues.  Issues to be discussed include:  transaction structures, indices and other measurements, physical delivery and market participants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  <w:t>Workshop 2.</w:t>
        <w:tab/>
        <w:t>Documenting Energy and Power Derivatives Under the 1992 ISDA Master Agreements</w:t>
      </w:r>
    </w:p>
    <w:p>
      <w:pPr>
        <w:pStyle w:val="BodyTextIndent"/>
        <w:tabs>
          <w:tab w:val="clear" w:pos="720"/>
          <w:tab w:val="left" w:pos="1620" w:leader="none"/>
        </w:tabs>
        <w:ind w:start="1620" w:end="0"/>
        <w:rPr>
          <w:i/>
          <w:i/>
        </w:rPr>
      </w:pPr>
      <w:r>
        <w:rPr>
          <w:i/>
        </w:rPr>
        <w:t xml:space="preserve">This workshop, repeated in session two, is for attendees who are interested in a more in-depth understanding of the ISDA Master Agreement and how it can be used to document energy and </w:t>
      </w:r>
    </w:p>
    <w:p>
      <w:pPr>
        <w:pStyle w:val="BodyTextIndent"/>
        <w:tabs>
          <w:tab w:val="clear" w:pos="720"/>
          <w:tab w:val="left" w:pos="1620" w:leader="none"/>
        </w:tabs>
        <w:ind w:start="1620" w:end="0"/>
        <w:rPr>
          <w:i/>
          <w:i/>
        </w:rPr>
      </w:pPr>
      <w:r>
        <w:rPr>
          <w:i/>
        </w:rPr>
        <w:t>power derivatives.</w:t>
      </w:r>
    </w:p>
    <w:p>
      <w:pPr>
        <w:pStyle w:val="Normal"/>
        <w:tabs>
          <w:tab w:val="clear" w:pos="720"/>
          <w:tab w:val="left" w:pos="1620" w:leader="none"/>
        </w:tabs>
        <w:rPr>
          <w:bCs/>
          <w:i/>
          <w:i/>
          <w:iCs/>
          <w:sz w:val="22"/>
          <w:u w:val="single"/>
        </w:rPr>
      </w:pPr>
      <w:r>
        <w:rPr>
          <w:b/>
          <w:i/>
          <w:sz w:val="22"/>
        </w:rPr>
        <w:tab/>
      </w:r>
      <w:r>
        <w:rPr>
          <w:b/>
          <w:sz w:val="22"/>
        </w:rPr>
        <w:tab/>
      </w:r>
    </w:p>
    <w:p>
      <w:pPr>
        <w:pStyle w:val="Heading9"/>
        <w:ind w:firstLine="720" w:start="1440" w:end="0"/>
        <w:rPr>
          <w:sz w:val="22"/>
        </w:rPr>
      </w:pPr>
      <w:r>
        <w:rPr>
          <w:sz w:val="22"/>
        </w:rPr>
        <w:t>An Overview of the Architecture of the 1992 ISDA Master Agreements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900" w:leader="none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Definitions and Confirmations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User’s Guide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>Recent Developments</w:t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2520" w:leader="none"/>
        </w:tabs>
        <w:ind w:hanging="144" w:start="2304" w:end="0"/>
        <w:rPr>
          <w:sz w:val="22"/>
        </w:rPr>
      </w:pPr>
      <w:r>
        <w:rPr>
          <w:sz w:val="22"/>
        </w:rPr>
        <w:t xml:space="preserve">Conflict of Law Issues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6"/>
        <w:ind w:firstLine="720" w:end="0"/>
        <w:rPr>
          <w:sz w:val="22"/>
        </w:rPr>
      </w:pPr>
      <w:r>
        <w:rPr>
          <w:sz w:val="22"/>
        </w:rPr>
        <w:t>Mastering the 1992 ISDA Master Agreements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7"/>
        <w:numPr>
          <w:ilvl w:val="0"/>
          <w:numId w:val="8"/>
        </w:numPr>
        <w:ind w:hanging="360" w:start="3420" w:end="0"/>
        <w:rPr>
          <w:sz w:val="22"/>
        </w:rPr>
      </w:pPr>
      <w:r>
        <w:rPr>
          <w:sz w:val="22"/>
        </w:rPr>
        <w:t>The Basics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780" w:leader="none"/>
        </w:tabs>
        <w:ind w:hanging="0" w:start="3420" w:end="0"/>
        <w:rPr>
          <w:sz w:val="22"/>
        </w:rPr>
      </w:pPr>
      <w:r>
        <w:rPr>
          <w:sz w:val="22"/>
        </w:rPr>
        <w:t>Payment Mechanics</w:t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3780" w:leader="none"/>
        </w:tabs>
        <w:ind w:hanging="144" w:start="3564" w:end="0"/>
        <w:rPr>
          <w:sz w:val="22"/>
        </w:rPr>
      </w:pPr>
      <w:r>
        <w:rPr>
          <w:sz w:val="22"/>
        </w:rPr>
        <w:t>Representations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3780" w:leader="none"/>
        </w:tabs>
        <w:ind w:hanging="144" w:start="3564" w:end="0"/>
        <w:rPr>
          <w:sz w:val="22"/>
        </w:rPr>
      </w:pPr>
      <w:r>
        <w:rPr>
          <w:sz w:val="22"/>
        </w:rPr>
        <w:t>Agreements</w:t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2250" w:leader="none"/>
        </w:tabs>
        <w:ind w:hanging="0" w:start="2160" w:end="0"/>
        <w:rPr>
          <w:sz w:val="22"/>
        </w:rPr>
      </w:pPr>
      <w:r>
        <w:rPr>
          <w:sz w:val="22"/>
        </w:rPr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3060" w:leader="none"/>
          <w:tab w:val="left" w:pos="3420" w:leader="none"/>
        </w:tabs>
        <w:ind w:hanging="0" w:start="0"/>
        <w:rPr>
          <w:sz w:val="22"/>
        </w:rPr>
      </w:pPr>
      <w:r>
        <w:rPr>
          <w:sz w:val="22"/>
        </w:rPr>
        <w:tab/>
        <w:t>B.</w:t>
        <w:tab/>
        <w:t xml:space="preserve">Early Termination 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3780" w:leader="none"/>
        </w:tabs>
        <w:ind w:hanging="0" w:start="3420" w:end="0"/>
        <w:jc w:val="both"/>
        <w:rPr>
          <w:sz w:val="22"/>
        </w:rPr>
      </w:pPr>
      <w:r>
        <w:rPr>
          <w:sz w:val="22"/>
        </w:rPr>
        <w:t>Events of Default/Termination Events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780" w:leader="none"/>
        </w:tabs>
        <w:ind w:hanging="90" w:start="3510" w:end="0"/>
        <w:jc w:val="both"/>
        <w:rPr>
          <w:sz w:val="22"/>
        </w:rPr>
      </w:pPr>
      <w:r>
        <w:rPr>
          <w:sz w:val="22"/>
        </w:rPr>
        <w:t>Termination Mechanics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780" w:leader="none"/>
        </w:tabs>
        <w:ind w:hanging="180" w:start="3600" w:end="0"/>
        <w:jc w:val="both"/>
        <w:rPr>
          <w:sz w:val="22"/>
        </w:rPr>
      </w:pPr>
      <w:r>
        <w:rPr>
          <w:sz w:val="22"/>
        </w:rPr>
        <w:t>Calculating Settlement Amounts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700" w:leader="none"/>
          <w:tab w:val="left" w:pos="3780" w:leader="none"/>
        </w:tabs>
        <w:ind w:hanging="720" w:start="4140" w:end="0"/>
        <w:jc w:val="both"/>
        <w:rPr>
          <w:sz w:val="22"/>
        </w:rPr>
      </w:pPr>
      <w:r>
        <w:rPr>
          <w:sz w:val="22"/>
        </w:rPr>
        <w:t>Bankruptcy/Insolvency: Netting and Regulatory Aspects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  <w:t xml:space="preserve">  </w:t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sz w:val="22"/>
        </w:rPr>
        <w:t xml:space="preserve">  </w:t>
      </w:r>
      <w:r>
        <w:rPr>
          <w:b/>
          <w:sz w:val="22"/>
        </w:rPr>
        <w:t>3:15 PM</w:t>
        <w:tab/>
        <w:t xml:space="preserve">Afternoon Break 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>
        <w:br w:type="page"/>
      </w:r>
    </w:p>
    <w:p>
      <w:pPr>
        <w:pStyle w:val="Heading3"/>
        <w:ind w:hanging="0" w:start="0"/>
        <w:rPr>
          <w:rFonts w:ascii="Arial Black" w:hAnsi="Arial Black" w:eastAsia="Batang;바탕" w:cs="Arial Black"/>
          <w:sz w:val="28"/>
          <w:u w:val="single"/>
        </w:rPr>
      </w:pPr>
      <w:r>
        <w:rPr>
          <w:rFonts w:eastAsia="Batang;바탕" w:cs="Arial Black" w:ascii="Arial Black" w:hAnsi="Arial Black"/>
          <w:sz w:val="28"/>
          <w:u w:val="single"/>
        </w:rPr>
        <w:t>DRAFT AGENDA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Energy and Developing Products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December 4,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One Whitehall Place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London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3:45 PM</w:t>
        <w:tab/>
        <w:t>Session Two Begins</w:t>
      </w:r>
    </w:p>
    <w:p>
      <w:pPr>
        <w:pStyle w:val="Normal"/>
        <w:ind w:start="108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  <w:t xml:space="preserve">  </w:t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b/>
          <w:sz w:val="22"/>
        </w:rPr>
        <w:tab/>
        <w:t>SESSION TWO:  Delegates may select one workshop topic for session two</w:t>
      </w:r>
      <w:r>
        <w:rPr>
          <w:sz w:val="22"/>
        </w:rPr>
        <w:t xml:space="preserve">. 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60" w:leader="none"/>
          <w:tab w:val="left" w:pos="1620" w:leader="none"/>
        </w:tabs>
        <w:rPr>
          <w:sz w:val="22"/>
        </w:rPr>
      </w:pPr>
      <w:r>
        <w:rPr>
          <w:b/>
          <w:bCs/>
          <w:sz w:val="22"/>
        </w:rPr>
        <w:t xml:space="preserve">  </w:t>
      </w:r>
      <w:r>
        <w:rPr>
          <w:b/>
          <w:bCs/>
          <w:sz w:val="22"/>
        </w:rPr>
        <w:t>Workshop 1.</w:t>
        <w:tab/>
        <w:t>Please recommend a product type(s) for this workshop that is of interest to Europe.</w:t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b w:val="false"/>
          <w:sz w:val="22"/>
        </w:rPr>
      </w:pPr>
      <w:r>
        <w:rPr>
          <w:b w:val="false"/>
          <w:sz w:val="22"/>
        </w:rPr>
        <w:t xml:space="preserve">  </w:t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5"/>
        <w:tabs>
          <w:tab w:val="clear" w:pos="720"/>
          <w:tab w:val="left" w:pos="1620" w:leader="none"/>
        </w:tabs>
        <w:ind w:hanging="0" w:start="0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Workshop 2.</w:t>
        <w:tab/>
        <w:t>Documenting Energy and Power Derivatives Under the 1992 ISDA Master Agreements</w:t>
      </w:r>
    </w:p>
    <w:p>
      <w:pPr>
        <w:pStyle w:val="Normal"/>
        <w:tabs>
          <w:tab w:val="clear" w:pos="720"/>
          <w:tab w:val="left" w:pos="1620" w:leader="none"/>
        </w:tabs>
        <w:ind w:start="1080" w:end="0"/>
        <w:rPr/>
      </w:pPr>
      <w:r>
        <w:rPr>
          <w:sz w:val="22"/>
        </w:rPr>
        <w:tab/>
      </w:r>
      <w:r>
        <w:rPr>
          <w:i/>
          <w:sz w:val="22"/>
        </w:rPr>
        <w:t>This workshop is a repeat of workshop 2 in session one.</w:t>
      </w:r>
    </w:p>
    <w:p>
      <w:pPr>
        <w:pStyle w:val="Normal"/>
        <w:ind w:start="1080" w:end="0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sz w:val="22"/>
        </w:rPr>
        <w:t xml:space="preserve">  </w:t>
      </w:r>
      <w:r>
        <w:rPr>
          <w:b/>
          <w:sz w:val="22"/>
        </w:rPr>
        <w:t>5:00 PM</w:t>
        <w:tab/>
        <w:t>Conference Concludes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sectPr>
      <w:type w:val="nextPage"/>
      <w:pgSz w:w="12240" w:h="15840"/>
      <w:pgMar w:left="864" w:right="864" w:gutter="0" w:header="0" w:top="720" w:footer="0" w:bottom="576"/>
      <w:pgBorders w:display="allPages" w:offsetFrom="text">
        <w:top w:val="single" w:sz="18" w:space="10" w:color="000000"/>
        <w:left w:val="single" w:sz="18" w:space="17" w:color="000000"/>
        <w:bottom w:val="single" w:sz="18" w:space="3" w:color="000000"/>
        <w:right w:val="single" w:sz="18" w:space="17" w:color="000000"/>
      </w:pgBorders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28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700"/>
        </w:tabs>
        <w:ind w:start="27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8">
    <w:lvl w:ilvl="0">
      <w:start w:val="1"/>
      <w:numFmt w:val="upperLetter"/>
      <w:lvlText w:val="%1."/>
      <w:lvlJc w:val="start"/>
      <w:pPr>
        <w:tabs>
          <w:tab w:val="num" w:pos="3060"/>
        </w:tabs>
        <w:ind w:start="3060" w:hanging="360"/>
      </w:pPr>
      <w:rPr/>
    </w:lvl>
  </w:abstractNum>
  <w:abstractNum w:abstractNumId="9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2421"/>
        </w:tabs>
        <w:ind w:start="2421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1980"/>
        </w:tabs>
        <w:ind w:start="198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7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abstractNum w:abstractNumId="18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80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144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17"/>
      </w:numPr>
      <w:tabs>
        <w:tab w:val="clear" w:pos="720"/>
        <w:tab w:val="left" w:pos="2160" w:leader="none"/>
      </w:tabs>
      <w:ind w:hanging="0" w:start="216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17"/>
      </w:numPr>
      <w:tabs>
        <w:tab w:val="clear" w:pos="720"/>
        <w:tab w:val="left" w:pos="2160" w:leader="none"/>
      </w:tabs>
      <w:ind w:hanging="0" w:start="2160" w:end="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180" w:start="162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b/>
      <w:i w:val="false"/>
    </w:rPr>
  </w:style>
  <w:style w:type="character" w:styleId="WW8Num24z0">
    <w:name w:val="WW8Num24z0"/>
    <w:qFormat/>
    <w:rPr>
      <w:rFonts w:ascii="Times New Roman" w:hAnsi="Times New Roman" w:cs="Times New Roman"/>
      <w:b/>
      <w:i w:val="false"/>
      <w:sz w:val="22"/>
    </w:rPr>
  </w:style>
  <w:style w:type="character" w:styleId="WW8Num25z0">
    <w:name w:val="WW8Num25z0"/>
    <w:qFormat/>
    <w:rPr>
      <w:b/>
      <w:i w:val="false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b/>
      <w:i w:val="false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Wingdings" w:hAnsi="Wingdings" w:cs="Wingdings"/>
      <w:sz w:val="16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Times New Roman"/>
      <w:sz w:val="16"/>
      <w:szCs w:val="16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Wingdings" w:hAnsi="Wingdings" w:cs="Wingdings"/>
      <w:sz w:val="16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b/>
      <w:i w:val="false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  <w:sz w:val="16"/>
    </w:rPr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Wingdings" w:hAnsi="Wingdings" w:cs="Wingdings"/>
      <w:sz w:val="16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2">
    <w:name w:val="WW8Num53z2"/>
    <w:qFormat/>
    <w:rPr>
      <w:rFonts w:ascii="Wingdings" w:hAnsi="Wingdings" w:cs="Wingdings"/>
    </w:rPr>
  </w:style>
  <w:style w:type="character" w:styleId="WW8Num54z0">
    <w:name w:val="WW8Num54z0"/>
    <w:qFormat/>
    <w:rPr/>
  </w:style>
  <w:style w:type="character" w:styleId="WW8Num55z0">
    <w:name w:val="WW8Num55z0"/>
    <w:qFormat/>
    <w:rPr>
      <w:rFonts w:ascii="Wingdings" w:hAnsi="Wingdings" w:cs="Wingdings"/>
      <w:sz w:val="16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Wingdings" w:hAnsi="Wingdings" w:cs="Wingdings"/>
      <w:sz w:val="16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Times New Roman" w:hAnsi="Times New Roman" w:cs="Times New Roman"/>
      <w:b/>
      <w:i w:val="false"/>
      <w:sz w:val="22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2">
    <w:name w:val="WW8Num70z2"/>
    <w:qFormat/>
    <w:rPr>
      <w:rFonts w:ascii="Wingdings" w:hAnsi="Wingdings" w:cs="Wingdings"/>
    </w:rPr>
  </w:style>
  <w:style w:type="character" w:styleId="WW8Num71z0">
    <w:name w:val="WW8Num71z0"/>
    <w:qFormat/>
    <w:rPr>
      <w:rFonts w:ascii="Wingdings" w:hAnsi="Wingdings" w:cs="Wingdings"/>
    </w:rPr>
  </w:style>
  <w:style w:type="character" w:styleId="WW8Num72z0">
    <w:name w:val="WW8Num72z0"/>
    <w:qFormat/>
    <w:rPr>
      <w:rFonts w:ascii="Wingdings" w:hAnsi="Wingdings" w:cs="Wingdings"/>
      <w:sz w:val="16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Wingdings" w:hAnsi="Wingdings" w:cs="Wingdings"/>
      <w:sz w:val="16"/>
    </w:rPr>
  </w:style>
  <w:style w:type="character" w:styleId="WW8Num76z0">
    <w:name w:val="WW8Num76z0"/>
    <w:qFormat/>
    <w:rPr>
      <w:b/>
      <w:i w:val="false"/>
    </w:rPr>
  </w:style>
  <w:style w:type="character" w:styleId="WW8Num77z0">
    <w:name w:val="WW8Num77z0"/>
    <w:qFormat/>
    <w:rPr>
      <w:rFonts w:ascii="Wingdings" w:hAnsi="Wingdings" w:cs="Times New Roman"/>
      <w:sz w:val="16"/>
      <w:szCs w:val="16"/>
    </w:rPr>
  </w:style>
  <w:style w:type="character" w:styleId="WW8Num77z1">
    <w:name w:val="WW8Num77z1"/>
    <w:qFormat/>
    <w:rPr>
      <w:rFonts w:ascii="Courier New" w:hAnsi="Courier New" w:cs="Courier New"/>
    </w:rPr>
  </w:style>
  <w:style w:type="character" w:styleId="WW8Num77z2">
    <w:name w:val="WW8Num77z2"/>
    <w:qFormat/>
    <w:rPr>
      <w:rFonts w:ascii="Wingdings" w:hAnsi="Wingdings" w:cs="Wingdings"/>
    </w:rPr>
  </w:style>
  <w:style w:type="character" w:styleId="WW8Num77z3">
    <w:name w:val="WW8Num77z3"/>
    <w:qFormat/>
    <w:rPr>
      <w:rFonts w:ascii="Symbol" w:hAnsi="Symbol" w:cs="Symbol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/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BodyText3">
    <w:name w:val="Body Text 3"/>
    <w:basedOn w:val="Normal"/>
    <w:qFormat/>
    <w:pPr>
      <w:ind w:hanging="0" w:start="0" w:end="-180"/>
    </w:pPr>
    <w:rPr>
      <w:rFonts w:ascii="Arial" w:hAnsi="Arial" w:cs="Arial"/>
    </w:rPr>
  </w:style>
  <w:style w:type="paragraph" w:styleId="BlockText">
    <w:name w:val="Block Text"/>
    <w:basedOn w:val="Normal"/>
    <w:qFormat/>
    <w:pPr>
      <w:ind w:hanging="0" w:start="360" w:end="-180"/>
    </w:pPr>
    <w:rPr>
      <w:sz w:val="18"/>
    </w:rPr>
  </w:style>
  <w:style w:type="paragraph" w:styleId="BodyTextIndent">
    <w:name w:val="Body Text Indent"/>
    <w:basedOn w:val="Normal"/>
    <w:pPr>
      <w:ind w:hanging="0" w:start="1080" w:end="0"/>
    </w:pPr>
    <w:rPr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162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180" w:start="1440" w:end="0"/>
    </w:pPr>
    <w:rPr>
      <w:b/>
      <w:i/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2001-06-22T11:46:00Z</dcterms:created>
  <dc:creator>Alison Smythe</dc:creator>
  <dc:description/>
  <dc:language>en-CA</dc:language>
  <cp:lastModifiedBy>LOSULLIVAN</cp:lastModifiedBy>
  <cp:lastPrinted>2001-06-25T11:47:00Z</cp:lastPrinted>
  <dcterms:modified xsi:type="dcterms:W3CDTF">2001-06-25T13:22:00Z</dcterms:modified>
  <cp:revision>32</cp:revision>
  <dc:subject/>
  <dc:title>International Swaps and Derivatives Association, Inc</dc:title>
</cp:coreProperties>
</file>