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FLORIDA GAS TRANSMISSION COMPANY</w:t>
      </w:r>
    </w:p>
    <w:p>
      <w:pPr>
        <w:pStyle w:val="Normal"/>
        <w:jc w:val="center"/>
        <w:rPr>
          <w:b/>
          <w:spacing w:val="-3"/>
        </w:rPr>
      </w:pPr>
      <w:r>
        <w:rPr>
          <w:b/>
          <w:spacing w:val="-3"/>
        </w:rPr>
        <w:t>JANUARY 28, 2002 RESPONSE TO</w:t>
      </w:r>
    </w:p>
    <w:p>
      <w:pPr>
        <w:pStyle w:val="Header"/>
        <w:jc w:val="center"/>
        <w:rPr>
          <w:sz w:val="20"/>
        </w:rPr>
      </w:pPr>
      <w:r>
        <w:rPr>
          <w:b/>
          <w:spacing w:val="-3"/>
          <w:sz w:val="20"/>
        </w:rPr>
        <w:t>FEDER</w:t>
      </w:r>
      <w:r>
        <w:rPr>
          <w:b/>
          <w:sz w:val="20"/>
        </w:rPr>
        <w:t>AL ENERGY REGULATORY COMMISSION</w:t>
      </w:r>
    </w:p>
    <w:p>
      <w:pPr>
        <w:pStyle w:val="Normal"/>
        <w:jc w:val="center"/>
        <w:rPr>
          <w:b/>
        </w:rPr>
      </w:pPr>
      <w:r>
        <w:rPr>
          <w:b/>
        </w:rPr>
        <w:t>DATA REQUEST DATED January 11, 2002 (OEP/DPC/CGI)</w:t>
      </w:r>
    </w:p>
    <w:p>
      <w:pPr>
        <w:pStyle w:val="Normal"/>
        <w:jc w:val="center"/>
        <w:rPr>
          <w:b/>
        </w:rPr>
      </w:pPr>
      <w:r>
        <w:rPr>
          <w:b/>
        </w:rPr>
        <w:t>Docket No. CP02-27-000</w:t>
      </w:r>
    </w:p>
    <w:p>
      <w:pPr>
        <w:pStyle w:val="Normal"/>
        <w:rPr/>
      </w:pPr>
      <w:r>
        <w:rPr/>
      </w:r>
    </w:p>
    <w:p>
      <w:pPr>
        <w:pStyle w:val="Heading3"/>
        <w:ind w:hanging="0" w:start="0"/>
        <w:rPr/>
      </w:pPr>
      <w:r>
        <w:rPr/>
        <w:t>Levelized Depreciation</w:t>
      </w:r>
    </w:p>
    <w:p>
      <w:pPr>
        <w:pStyle w:val="Normal"/>
        <w:rPr/>
      </w:pPr>
      <w:r>
        <w:rPr/>
      </w:r>
    </w:p>
    <w:p>
      <w:pPr>
        <w:pStyle w:val="Normal"/>
        <w:numPr>
          <w:ilvl w:val="0"/>
          <w:numId w:val="2"/>
        </w:numPr>
        <w:rPr/>
      </w:pPr>
      <w:r>
        <w:rPr/>
        <w:t>In FGT’s Exhibit L, Page 8 of 15, FGT provides depreciation expense amounts which are net of a levelization adjustment.</w:t>
      </w:r>
    </w:p>
    <w:p>
      <w:pPr>
        <w:pStyle w:val="Normal"/>
        <w:rPr/>
      </w:pPr>
      <w:r>
        <w:rPr/>
      </w:r>
    </w:p>
    <w:p>
      <w:pPr>
        <w:pStyle w:val="Normal"/>
        <w:numPr>
          <w:ilvl w:val="1"/>
          <w:numId w:val="2"/>
        </w:numPr>
        <w:rPr/>
      </w:pPr>
      <w:r>
        <w:rPr/>
        <w:t>Please explain what this statement means (i.e., Does the depreciation expense amounts represent a combination of straight-line and levelized depreciation or the remainder of the straight-line depreciation after deductions of the levelized depreciation amounts?  Please explain and provide reference to any Commission Orders approving depreciation expense net.</w:t>
      </w:r>
    </w:p>
    <w:p>
      <w:pPr>
        <w:pStyle w:val="Normal"/>
        <w:ind w:start="1080" w:end="0"/>
        <w:rPr/>
      </w:pPr>
      <w:r>
        <w:rPr/>
      </w:r>
    </w:p>
    <w:p>
      <w:pPr>
        <w:pStyle w:val="Normal"/>
        <w:numPr>
          <w:ilvl w:val="1"/>
          <w:numId w:val="2"/>
        </w:numPr>
        <w:rPr/>
      </w:pPr>
      <w:r>
        <w:rPr/>
        <w:t>“</w:t>
      </w:r>
      <w:r>
        <w:rPr/>
        <w:t>(c)”  P lease provide the computation showing how FGT computed Year 1 and Year depreciation expense amounts.</w:t>
      </w:r>
    </w:p>
    <w:p>
      <w:pPr>
        <w:pStyle w:val="Normal"/>
        <w:rPr/>
      </w:pPr>
      <w:r>
        <w:rPr/>
      </w:r>
    </w:p>
    <w:p>
      <w:pPr>
        <w:pStyle w:val="Normal"/>
        <w:numPr>
          <w:ilvl w:val="1"/>
          <w:numId w:val="2"/>
        </w:numPr>
        <w:rPr/>
      </w:pPr>
      <w:r>
        <w:rPr/>
        <w:t>“</w:t>
      </w:r>
      <w:r>
        <w:rPr/>
        <w:t>(d)”  In what account, if any, does FGT propose to record amounts relating to levelized depreciation?</w:t>
      </w:r>
    </w:p>
    <w:p>
      <w:pPr>
        <w:pStyle w:val="Normal"/>
        <w:rPr/>
      </w:pPr>
      <w:r>
        <w:rPr/>
      </w:r>
    </w:p>
    <w:p>
      <w:pPr>
        <w:pStyle w:val="Normal"/>
        <w:ind w:start="1440" w:end="0"/>
        <w:rPr/>
      </w:pPr>
      <w:r>
        <w:rPr/>
        <w:t>If a regulatory asset and/or regulatory liability is not appropriate for this project:</w:t>
      </w:r>
    </w:p>
    <w:p>
      <w:pPr>
        <w:pStyle w:val="Normal"/>
        <w:ind w:start="1440" w:end="0"/>
        <w:rPr/>
      </w:pPr>
      <w:r>
        <w:rPr/>
      </w:r>
    </w:p>
    <w:p>
      <w:pPr>
        <w:pStyle w:val="Normal"/>
        <w:numPr>
          <w:ilvl w:val="3"/>
          <w:numId w:val="2"/>
        </w:numPr>
        <w:tabs>
          <w:tab w:val="clear" w:pos="720"/>
          <w:tab w:val="left" w:pos="1800" w:leader="none"/>
        </w:tabs>
        <w:ind w:hanging="360" w:start="1800" w:end="0"/>
        <w:rPr/>
      </w:pPr>
      <w:r>
        <w:rPr/>
        <w:t>please provide the necessary support (e.g. Commission Orders) explaining why a regulatory asset and/or regulatory liabili8ty is not appropriate?</w:t>
      </w:r>
    </w:p>
    <w:p>
      <w:pPr>
        <w:pStyle w:val="Normal"/>
        <w:ind w:start="1440" w:end="0"/>
        <w:rPr/>
      </w:pPr>
      <w:r>
        <w:rPr/>
      </w:r>
    </w:p>
    <w:p>
      <w:pPr>
        <w:pStyle w:val="Normal"/>
        <w:numPr>
          <w:ilvl w:val="3"/>
          <w:numId w:val="2"/>
        </w:numPr>
        <w:tabs>
          <w:tab w:val="clear" w:pos="720"/>
          <w:tab w:val="left" w:pos="1800" w:leader="none"/>
        </w:tabs>
        <w:ind w:hanging="360" w:start="1800" w:end="0"/>
        <w:rPr/>
      </w:pPr>
      <w:r>
        <w:rPr/>
        <w:t>Please state what account is appropriate and provide the necessary support (i.e. Commission Orders and/or account regulations) for FGT’s response.</w:t>
      </w:r>
    </w:p>
    <w:p>
      <w:pPr>
        <w:pStyle w:val="Normal"/>
        <w:rPr/>
      </w:pPr>
      <w:r>
        <w:rPr/>
      </w:r>
    </w:p>
    <w:p>
      <w:pPr>
        <w:pStyle w:val="Normal"/>
        <w:rPr/>
      </w:pPr>
      <w:r>
        <w:rPr/>
        <w:t>1) a)  The depreciation expense as shown on Exhibit L, Page 8 of 15, represents the straight-line depreciation expense plus the levelization adjustment. The computation of the depreciation expense is shown on Exhibit P, Pages 16 and 17 of 30, Lines 10 through 12.</w:t>
      </w:r>
    </w:p>
    <w:p>
      <w:pPr>
        <w:pStyle w:val="Normal"/>
        <w:rPr/>
      </w:pPr>
      <w:r>
        <w:rPr/>
      </w:r>
    </w:p>
    <w:p>
      <w:pPr>
        <w:pStyle w:val="Normal"/>
        <w:rPr/>
      </w:pPr>
      <w:r>
        <w:rPr/>
        <w:t>FGT’s Incremental System was created as a result of FGT’s Phase III Expansion. FGT and its customers resolved all non-environmental issues related to the Incremental System, including the levelized depreciation methodology, in the August 25, 1992 Phase III Settlement in Docket No. CP92-182 et. al., as approved by Commission order dated January 15, 1993. Additionally, the levelized rate methodology was addressed in FGT’s August 5, 1997 rate case settlement in Docket No. RP96-366, as approved by Commission order dated September 24, 1997. Until superceded, the depreciation rates applicable to FGT’s Incremental Facilities are shown on Appendix B of the August 5, 1997 settlement.</w:t>
      </w:r>
    </w:p>
    <w:p>
      <w:pPr>
        <w:pStyle w:val="Normal"/>
        <w:rPr/>
      </w:pPr>
      <w:r>
        <w:rPr/>
      </w:r>
    </w:p>
    <w:p>
      <w:pPr>
        <w:pStyle w:val="Normal"/>
        <w:rPr/>
      </w:pPr>
      <w:r>
        <w:rPr/>
        <w:t>1)b) See Exhibit P, Page 16, Lines 10 through 12.</w:t>
      </w:r>
    </w:p>
    <w:p>
      <w:pPr>
        <w:pStyle w:val="Normal"/>
        <w:rPr/>
      </w:pPr>
      <w:r>
        <w:rPr/>
      </w:r>
    </w:p>
    <w:p>
      <w:pPr>
        <w:pStyle w:val="Normal"/>
        <w:rPr/>
      </w:pPr>
      <w:r>
        <w:rPr/>
        <w:t>1)c)The accounts FGT will utilize are:</w:t>
      </w:r>
    </w:p>
    <w:p>
      <w:pPr>
        <w:pStyle w:val="Normal"/>
        <w:rPr/>
      </w:pPr>
      <w:r>
        <w:rPr/>
      </w:r>
    </w:p>
    <w:p>
      <w:pPr>
        <w:pStyle w:val="Normal"/>
        <w:rPr/>
      </w:pPr>
      <w:r>
        <w:rPr/>
        <w:tab/>
      </w:r>
      <w:r>
        <w:rPr>
          <w:u w:val="single"/>
        </w:rPr>
        <w:t>Accounts</w:t>
      </w:r>
    </w:p>
    <w:p>
      <w:pPr>
        <w:pStyle w:val="Normal"/>
        <w:rPr/>
      </w:pPr>
      <w:r>
        <w:rPr/>
        <w:tab/>
        <w:t>403    Depreciation</w:t>
      </w:r>
    </w:p>
    <w:p>
      <w:pPr>
        <w:pStyle w:val="Normal"/>
        <w:rPr/>
      </w:pPr>
      <w:r>
        <w:rPr/>
        <w:tab/>
      </w:r>
    </w:p>
    <w:p>
      <w:pPr>
        <w:pStyle w:val="Normal"/>
        <w:rPr/>
      </w:pPr>
      <w:r>
        <w:rPr/>
        <w:tab/>
        <w:t>407.3 Reguatory Debits, or</w:t>
      </w:r>
    </w:p>
    <w:p>
      <w:pPr>
        <w:pStyle w:val="Normal"/>
        <w:rPr/>
      </w:pPr>
      <w:r>
        <w:rPr/>
        <w:tab/>
        <w:t>407.4 Regulatory Credits</w:t>
      </w:r>
    </w:p>
    <w:p>
      <w:pPr>
        <w:pStyle w:val="Normal"/>
        <w:rPr/>
      </w:pPr>
      <w:r>
        <w:rPr/>
      </w:r>
    </w:p>
    <w:p>
      <w:pPr>
        <w:pStyle w:val="Normal"/>
        <w:rPr/>
      </w:pPr>
      <w:r>
        <w:rPr/>
        <w:tab/>
        <w:t>182.3 Other Regulatory Assets</w:t>
      </w:r>
    </w:p>
    <w:p>
      <w:pPr>
        <w:pStyle w:val="Normal"/>
        <w:rPr/>
      </w:pPr>
      <w:r>
        <w:rPr/>
        <w:t>A regulatory asset and/or liability is appropriate for this project.</w:t>
      </w:r>
    </w:p>
    <w:p>
      <w:pPr>
        <w:pStyle w:val="Heading2"/>
        <w:ind w:hanging="0" w:start="0"/>
        <w:rPr/>
      </w:pPr>
      <w:r>
        <w:rPr/>
        <w:t>Response provided by:</w:t>
        <w:tab/>
        <w:t>Teb Lokey, Director of Rates &amp; Tariffs – 713-853-6868</w:t>
      </w:r>
      <w:r>
        <w:br w:type="page"/>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outlineLvl w:val="2"/>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jc w:val="center"/>
    </w:pPr>
    <w:rPr>
      <w:b/>
      <w:spacing w:val="-3"/>
      <w:sz w:val="22"/>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color w:val="000080"/>
      <w:sz w:val="24"/>
    </w:rPr>
  </w:style>
  <w:style w:type="paragraph" w:styleId="BodyTextIndent">
    <w:name w:val="Body Text Indent"/>
    <w:basedOn w:val="Normal"/>
    <w:pPr>
      <w:ind w:hanging="810" w:start="810" w:end="0"/>
    </w:pPr>
    <w:rPr/>
  </w:style>
  <w:style w:type="paragraph" w:styleId="BodyText2">
    <w:name w:val="Body Text 2"/>
    <w:basedOn w:val="Normal"/>
    <w:qFormat/>
    <w:pPr>
      <w:ind w:hanging="0" w:start="720" w:end="0"/>
      <w:jc w:val="both"/>
    </w:pPr>
    <w:rPr>
      <w:rFonts w:ascii="Century Schoolbook" w:hAnsi="Century Schoolbook" w:cs="Century Schoolbook"/>
      <w:sz w:val="24"/>
    </w:rPr>
  </w:style>
  <w:style w:type="paragraph" w:styleId="BodyTextIndent2">
    <w:name w:val="Body Text Indent 2"/>
    <w:basedOn w:val="Normal"/>
    <w:qFormat/>
    <w:pPr>
      <w:ind w:hanging="0" w:start="720" w:end="0"/>
    </w:pPr>
    <w:rPr>
      <w:rFonts w:ascii="Century Schoolbook" w:hAnsi="Century Schoolbook" w:cs="Century Schoolbook"/>
      <w:sz w:val="24"/>
    </w:rPr>
  </w:style>
  <w:style w:type="paragraph" w:styleId="BodyText3">
    <w:name w:val="Body Text 3"/>
    <w:basedOn w:val="Normal"/>
    <w:qFormat/>
    <w:pPr/>
    <w:rPr>
      <w:color w:val="FF0000"/>
    </w:rPr>
  </w:style>
  <w:style w:type="paragraph" w:styleId="BodyTextIndent3">
    <w:name w:val="Body Text Indent 3"/>
    <w:basedOn w:val="Normal"/>
    <w:qFormat/>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2002-01-15T17:49:00Z</dcterms:created>
  <dc:creator>cculwel</dc:creator>
  <dc:description/>
  <dc:language>en-CA</dc:language>
  <cp:lastModifiedBy>blichte</cp:lastModifiedBy>
  <cp:lastPrinted>2002-01-15T14:12:00Z</cp:lastPrinted>
  <dcterms:modified xsi:type="dcterms:W3CDTF">2002-01-15T17:49:00Z</dcterms:modified>
  <cp:revision>2</cp:revision>
  <dc:subject/>
  <dc:title>FLORIDA GAS TRANSMISSION COMPANY</dc:title>
</cp:coreProperties>
</file>