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MEETING SUMMARY</w:t>
      </w:r>
    </w:p>
    <w:p>
      <w:pPr>
        <w:pStyle w:val="Normal"/>
        <w:jc w:val="center"/>
        <w:rPr/>
      </w:pPr>
      <w:r>
        <w:rPr/>
        <w:t>April 18, 2000</w:t>
      </w:r>
    </w:p>
    <w:p>
      <w:pPr>
        <w:pStyle w:val="Normal"/>
        <w:jc w:val="center"/>
        <w:rPr/>
      </w:pPr>
      <w:r>
        <w:rPr/>
        <w:t>10 a.m.</w:t>
      </w:r>
    </w:p>
    <w:p>
      <w:pPr>
        <w:pStyle w:val="Normal"/>
        <w:jc w:val="center"/>
        <w:rPr/>
      </w:pPr>
      <w:r>
        <w:rPr/>
        <w:t>77 Beale Street, San Francisco</w:t>
      </w:r>
    </w:p>
    <w:p>
      <w:pPr>
        <w:pStyle w:val="Normal"/>
        <w:jc w:val="center"/>
        <w:rPr/>
      </w:pPr>
      <w:r>
        <w:rPr/>
      </w:r>
    </w:p>
    <w:p>
      <w:pPr>
        <w:pStyle w:val="Normal"/>
        <w:jc w:val="center"/>
        <w:rPr>
          <w:b/>
          <w:bCs/>
          <w:u w:val="single"/>
        </w:rPr>
      </w:pPr>
      <w:r>
        <w:rPr>
          <w:b/>
          <w:bCs/>
          <w:u w:val="single"/>
        </w:rPr>
        <w:t>ATTENDEES</w:t>
      </w:r>
    </w:p>
    <w:p>
      <w:pPr>
        <w:pStyle w:val="Normal"/>
        <w:rPr>
          <w:b/>
          <w:bCs/>
          <w:u w:val="single"/>
        </w:rPr>
      </w:pPr>
      <w:r>
        <w:rPr>
          <w:b/>
          <w:bCs/>
          <w:u w:val="single"/>
        </w:rPr>
      </w:r>
    </w:p>
    <w:tbl>
      <w:tblPr>
        <w:tblW w:w="7632" w:type="dxa"/>
        <w:jc w:val="start"/>
        <w:tblInd w:w="0" w:type="dxa"/>
        <w:tblLayout w:type="fixed"/>
        <w:tblCellMar>
          <w:top w:w="0" w:type="dxa"/>
          <w:start w:w="108" w:type="dxa"/>
          <w:bottom w:w="0" w:type="dxa"/>
          <w:end w:w="108" w:type="dxa"/>
        </w:tblCellMar>
      </w:tblPr>
      <w:tblGrid>
        <w:gridCol w:w="720"/>
        <w:gridCol w:w="3744"/>
        <w:gridCol w:w="2880"/>
        <w:gridCol w:w="288"/>
      </w:tblGrid>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Caterpillar Gas Engines</w:t>
            </w:r>
          </w:p>
        </w:tc>
        <w:tc>
          <w:tcPr>
            <w:tcW w:w="2880" w:type="dxa"/>
            <w:tcBorders/>
          </w:tcPr>
          <w:p>
            <w:pPr>
              <w:pStyle w:val="Normal"/>
              <w:spacing w:lineRule="auto" w:line="360"/>
              <w:rPr>
                <w:sz w:val="16"/>
                <w:szCs w:val="16"/>
              </w:rPr>
            </w:pPr>
            <w:r>
              <w:rPr>
                <w:sz w:val="16"/>
                <w:szCs w:val="16"/>
              </w:rPr>
              <w:t>Eric Wong</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California Manufacturers and Technology Association</w:t>
            </w:r>
          </w:p>
        </w:tc>
        <w:tc>
          <w:tcPr>
            <w:tcW w:w="2880" w:type="dxa"/>
            <w:tcBorders/>
          </w:tcPr>
          <w:p>
            <w:pPr>
              <w:pStyle w:val="Normal"/>
              <w:spacing w:lineRule="auto" w:line="360"/>
              <w:rPr>
                <w:sz w:val="16"/>
                <w:szCs w:val="16"/>
              </w:rPr>
            </w:pPr>
            <w:r>
              <w:rPr>
                <w:sz w:val="16"/>
                <w:szCs w:val="16"/>
              </w:rPr>
              <w:t>Dorothy Rothrock</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Distributed Power Coalition of America</w:t>
            </w:r>
          </w:p>
        </w:tc>
        <w:tc>
          <w:tcPr>
            <w:tcW w:w="2880" w:type="dxa"/>
            <w:tcBorders/>
          </w:tcPr>
          <w:p>
            <w:pPr>
              <w:pStyle w:val="Normal"/>
              <w:spacing w:lineRule="auto" w:line="360"/>
              <w:rPr>
                <w:sz w:val="16"/>
                <w:szCs w:val="16"/>
              </w:rPr>
            </w:pPr>
            <w:r>
              <w:rPr>
                <w:sz w:val="16"/>
                <w:szCs w:val="16"/>
              </w:rPr>
              <w:t>John Nimmons</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Enron</w:t>
            </w:r>
          </w:p>
        </w:tc>
        <w:tc>
          <w:tcPr>
            <w:tcW w:w="2880" w:type="dxa"/>
            <w:tcBorders/>
          </w:tcPr>
          <w:p>
            <w:pPr>
              <w:pStyle w:val="Normal"/>
              <w:spacing w:lineRule="auto" w:line="360"/>
              <w:rPr>
                <w:sz w:val="16"/>
                <w:szCs w:val="16"/>
              </w:rPr>
            </w:pPr>
            <w:r>
              <w:rPr>
                <w:sz w:val="16"/>
                <w:szCs w:val="16"/>
              </w:rPr>
              <w:t>Bruno Gaillard, Bob Frank (by phone), Tom Hoatson (by phone)</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New Energy</w:t>
            </w:r>
          </w:p>
        </w:tc>
        <w:tc>
          <w:tcPr>
            <w:tcW w:w="2880" w:type="dxa"/>
            <w:tcBorders/>
          </w:tcPr>
          <w:p>
            <w:pPr>
              <w:pStyle w:val="Normal"/>
              <w:spacing w:lineRule="auto" w:line="360"/>
              <w:rPr>
                <w:sz w:val="16"/>
                <w:szCs w:val="16"/>
              </w:rPr>
            </w:pPr>
            <w:r>
              <w:rPr>
                <w:sz w:val="16"/>
                <w:szCs w:val="16"/>
              </w:rPr>
              <w:t>David Townley, Aaron Thomas</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Pacific Gas and Electric</w:t>
            </w:r>
          </w:p>
        </w:tc>
        <w:tc>
          <w:tcPr>
            <w:tcW w:w="2880" w:type="dxa"/>
            <w:tcBorders/>
          </w:tcPr>
          <w:p>
            <w:pPr>
              <w:pStyle w:val="Normal"/>
              <w:spacing w:lineRule="auto" w:line="360"/>
              <w:rPr>
                <w:sz w:val="16"/>
                <w:szCs w:val="16"/>
              </w:rPr>
            </w:pPr>
            <w:r>
              <w:rPr>
                <w:sz w:val="16"/>
                <w:szCs w:val="16"/>
              </w:rPr>
              <w:t>Kathy Treleven, Randy Litteneker, Kris Buchholz</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San Diego Gas &amp; Electric</w:t>
            </w:r>
          </w:p>
        </w:tc>
        <w:tc>
          <w:tcPr>
            <w:tcW w:w="2880" w:type="dxa"/>
            <w:tcBorders/>
          </w:tcPr>
          <w:p>
            <w:pPr>
              <w:pStyle w:val="Normal"/>
              <w:spacing w:lineRule="auto" w:line="360"/>
              <w:rPr>
                <w:sz w:val="16"/>
                <w:szCs w:val="16"/>
              </w:rPr>
            </w:pPr>
            <w:r>
              <w:rPr>
                <w:sz w:val="16"/>
                <w:szCs w:val="16"/>
              </w:rPr>
              <w:t>Vic Romero</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Southern California Gas</w:t>
            </w:r>
          </w:p>
        </w:tc>
        <w:tc>
          <w:tcPr>
            <w:tcW w:w="2880" w:type="dxa"/>
            <w:tcBorders/>
          </w:tcPr>
          <w:p>
            <w:pPr>
              <w:pStyle w:val="Normal"/>
              <w:spacing w:lineRule="auto" w:line="360"/>
              <w:rPr>
                <w:sz w:val="16"/>
                <w:szCs w:val="16"/>
              </w:rPr>
            </w:pPr>
            <w:r>
              <w:rPr>
                <w:sz w:val="16"/>
                <w:szCs w:val="16"/>
              </w:rPr>
              <w:t>Rod Hite</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Sempra Energy</w:t>
            </w:r>
          </w:p>
        </w:tc>
        <w:tc>
          <w:tcPr>
            <w:tcW w:w="2880" w:type="dxa"/>
            <w:tcBorders/>
          </w:tcPr>
          <w:p>
            <w:pPr>
              <w:pStyle w:val="Normal"/>
              <w:spacing w:lineRule="auto" w:line="360"/>
              <w:rPr>
                <w:sz w:val="16"/>
                <w:szCs w:val="16"/>
              </w:rPr>
            </w:pPr>
            <w:r>
              <w:rPr>
                <w:sz w:val="16"/>
                <w:szCs w:val="16"/>
              </w:rPr>
              <w:t>Joe Kloberdanz</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pacing w:lineRule="auto" w:line="360"/>
              <w:rPr>
                <w:sz w:val="16"/>
                <w:szCs w:val="16"/>
              </w:rPr>
            </w:pPr>
            <w:r>
              <w:rPr>
                <w:sz w:val="16"/>
                <w:szCs w:val="16"/>
              </w:rPr>
              <w:t>Southern California Edison</w:t>
            </w:r>
          </w:p>
        </w:tc>
        <w:tc>
          <w:tcPr>
            <w:tcW w:w="2880" w:type="dxa"/>
            <w:tcBorders/>
          </w:tcPr>
          <w:p>
            <w:pPr>
              <w:pStyle w:val="Normal"/>
              <w:spacing w:lineRule="auto" w:line="360"/>
              <w:rPr>
                <w:sz w:val="16"/>
                <w:szCs w:val="16"/>
              </w:rPr>
            </w:pPr>
            <w:r>
              <w:rPr>
                <w:sz w:val="16"/>
                <w:szCs w:val="16"/>
              </w:rPr>
              <w:t>Manuel Alvarez</w:t>
            </w:r>
          </w:p>
        </w:tc>
        <w:tc>
          <w:tcPr>
            <w:tcW w:w="288" w:type="dxa"/>
            <w:tcBorders/>
          </w:tcPr>
          <w:p>
            <w:pPr>
              <w:pStyle w:val="Normal"/>
              <w:snapToGrid w:val="false"/>
              <w:rPr>
                <w:sz w:val="16"/>
                <w:szCs w:val="16"/>
              </w:rPr>
            </w:pPr>
            <w:r>
              <w:rPr>
                <w:sz w:val="16"/>
                <w:szCs w:val="16"/>
              </w:rPr>
            </w:r>
          </w:p>
        </w:tc>
      </w:tr>
      <w:tr>
        <w:trPr/>
        <w:tc>
          <w:tcPr>
            <w:tcW w:w="720" w:type="dxa"/>
            <w:tcBorders/>
          </w:tcPr>
          <w:p>
            <w:pPr>
              <w:pStyle w:val="Normal"/>
              <w:snapToGrid w:val="false"/>
              <w:rPr/>
            </w:pPr>
            <w:r>
              <w:rPr/>
            </w:r>
          </w:p>
        </w:tc>
        <w:tc>
          <w:tcPr>
            <w:tcW w:w="3744" w:type="dxa"/>
            <w:tcBorders/>
          </w:tcPr>
          <w:p>
            <w:pPr>
              <w:pStyle w:val="Normal"/>
              <w:snapToGrid w:val="false"/>
              <w:spacing w:lineRule="auto" w:line="360"/>
              <w:rPr>
                <w:sz w:val="16"/>
                <w:szCs w:val="16"/>
              </w:rPr>
            </w:pPr>
            <w:r>
              <w:rPr>
                <w:sz w:val="16"/>
                <w:szCs w:val="16"/>
              </w:rPr>
            </w:r>
          </w:p>
        </w:tc>
        <w:tc>
          <w:tcPr>
            <w:tcW w:w="2880" w:type="dxa"/>
            <w:tcBorders/>
          </w:tcPr>
          <w:p>
            <w:pPr>
              <w:pStyle w:val="Normal"/>
              <w:snapToGrid w:val="false"/>
              <w:spacing w:lineRule="auto" w:line="360"/>
              <w:rPr>
                <w:sz w:val="16"/>
                <w:szCs w:val="16"/>
              </w:rPr>
            </w:pPr>
            <w:r>
              <w:rPr>
                <w:sz w:val="16"/>
                <w:szCs w:val="16"/>
              </w:rPr>
            </w:r>
          </w:p>
        </w:tc>
        <w:tc>
          <w:tcPr>
            <w:tcW w:w="288" w:type="dxa"/>
            <w:tcBorders/>
          </w:tcPr>
          <w:p>
            <w:pPr>
              <w:pStyle w:val="Normal"/>
              <w:snapToGrid w:val="false"/>
              <w:rPr>
                <w:sz w:val="16"/>
                <w:szCs w:val="16"/>
              </w:rPr>
            </w:pPr>
            <w:r>
              <w:rPr>
                <w:sz w:val="16"/>
                <w:szCs w:val="16"/>
              </w:rPr>
            </w:r>
          </w:p>
        </w:tc>
      </w:tr>
    </w:tbl>
    <w:p>
      <w:pPr>
        <w:pStyle w:val="Normal"/>
        <w:rPr/>
      </w:pPr>
      <w:r>
        <w:rPr/>
      </w:r>
    </w:p>
    <w:p>
      <w:pPr>
        <w:pStyle w:val="Normal"/>
        <w:rPr/>
      </w:pPr>
      <w:r>
        <w:rPr/>
      </w:r>
    </w:p>
    <w:p>
      <w:pPr>
        <w:pStyle w:val="Normal"/>
        <w:jc w:val="center"/>
        <w:rPr>
          <w:b/>
          <w:bCs/>
          <w:u w:val="single"/>
        </w:rPr>
      </w:pPr>
      <w:r>
        <w:rPr>
          <w:b/>
          <w:bCs/>
          <w:u w:val="single"/>
        </w:rPr>
        <w:t>SUMMARY</w:t>
      </w:r>
    </w:p>
    <w:p>
      <w:pPr>
        <w:pStyle w:val="Normal"/>
        <w:rPr>
          <w:b/>
          <w:bCs/>
          <w:u w:val="single"/>
        </w:rPr>
      </w:pPr>
      <w:r>
        <w:rPr>
          <w:b/>
          <w:bCs/>
          <w:u w:val="single"/>
        </w:rPr>
      </w:r>
    </w:p>
    <w:p>
      <w:pPr>
        <w:pStyle w:val="Normal"/>
        <w:rPr/>
      </w:pPr>
      <w:r>
        <w:rPr>
          <w:b/>
          <w:bCs/>
          <w:u w:val="single"/>
        </w:rPr>
        <w:t xml:space="preserve">Purposes: </w:t>
      </w:r>
      <w:r>
        <w:rPr/>
        <w:t xml:space="preserve"> The meeting purposes were to: </w:t>
      </w:r>
    </w:p>
    <w:p>
      <w:pPr>
        <w:pStyle w:val="Normal"/>
        <w:numPr>
          <w:ilvl w:val="0"/>
          <w:numId w:val="1"/>
        </w:numPr>
        <w:tabs>
          <w:tab w:val="clear" w:pos="720"/>
          <w:tab w:val="left" w:pos="0" w:leader="none"/>
        </w:tabs>
        <w:ind w:hanging="720" w:start="1440" w:end="0"/>
        <w:rPr/>
      </w:pPr>
      <w:r>
        <w:rPr/>
        <w:t>Continue to explore whether the organizations represented at the meeting could productively collaborate to find common ground on distributed generation issues pending chiefly in OIR 99-10-025, as well as in its companion proceeding at the CEC, 99-Dist-Gen(2);</w:t>
      </w:r>
    </w:p>
    <w:p>
      <w:pPr>
        <w:pStyle w:val="Normal"/>
        <w:numPr>
          <w:ilvl w:val="0"/>
          <w:numId w:val="1"/>
        </w:numPr>
        <w:tabs>
          <w:tab w:val="clear" w:pos="720"/>
          <w:tab w:val="left" w:pos="0" w:leader="none"/>
        </w:tabs>
        <w:ind w:hanging="360" w:start="1440" w:end="0"/>
        <w:rPr/>
      </w:pPr>
      <w:r>
        <w:rPr/>
        <w:t>In particular, to focus first on questions of ownership and control.</w:t>
      </w:r>
    </w:p>
    <w:p>
      <w:pPr>
        <w:pStyle w:val="Normal"/>
        <w:rPr/>
      </w:pPr>
      <w:r>
        <w:rPr/>
      </w:r>
    </w:p>
    <w:p>
      <w:pPr>
        <w:pStyle w:val="Normal"/>
        <w:rPr/>
      </w:pPr>
      <w:r>
        <w:rPr/>
      </w:r>
    </w:p>
    <w:p>
      <w:pPr>
        <w:pStyle w:val="Normal"/>
        <w:rPr>
          <w:b/>
          <w:bCs/>
          <w:u w:val="single"/>
        </w:rPr>
      </w:pPr>
      <w:r>
        <w:rPr>
          <w:b/>
          <w:bCs/>
          <w:u w:val="single"/>
        </w:rPr>
        <w:t>Chronological Summary:</w:t>
      </w:r>
    </w:p>
    <w:p>
      <w:pPr>
        <w:pStyle w:val="Normal"/>
        <w:rPr/>
      </w:pPr>
      <w:r>
        <w:rPr/>
        <w:t xml:space="preserve">     </w:t>
      </w:r>
      <w:r>
        <w:rPr/>
        <w:t xml:space="preserve">Given the wide-ranging discussions on many topics, this meeting will be summarized chiefly by the non-chronological issue summary below.  </w:t>
      </w:r>
    </w:p>
    <w:p>
      <w:pPr>
        <w:pStyle w:val="Normal"/>
        <w:rPr/>
      </w:pPr>
      <w:r>
        <w:rPr/>
        <w:t xml:space="preserve">     </w:t>
      </w:r>
      <w:r>
        <w:rPr/>
        <w:t xml:space="preserve">We first reviewed the summary from our last meeting and the proposed agenda for the day, and agreed to focus on questions of ownership and control.  We then went around the room with each party summarizing its testimony. Issues were explored both within each summary and afterwards.  We agreed that more discussion within our small group was needed before we could come to settlement on ownership and control issues, and scheduled the topics of planning and distribution only wheeling (at least) for the following meeting, Monday, April 24 in Sacramento.  </w:t>
      </w:r>
    </w:p>
    <w:p>
      <w:pPr>
        <w:pStyle w:val="Normal"/>
        <w:rPr/>
      </w:pPr>
      <w:r>
        <w:rPr/>
      </w:r>
    </w:p>
    <w:p>
      <w:pPr>
        <w:pStyle w:val="Normal"/>
        <w:rPr/>
      </w:pPr>
      <w:r>
        <w:rPr/>
      </w:r>
    </w:p>
    <w:p>
      <w:pPr>
        <w:pStyle w:val="Normal"/>
        <w:rPr>
          <w:b/>
          <w:bCs/>
          <w:u w:val="single"/>
        </w:rPr>
      </w:pPr>
      <w:r>
        <w:rPr>
          <w:b/>
          <w:bCs/>
          <w:u w:val="single"/>
        </w:rPr>
        <w:t xml:space="preserve">Issues:  </w:t>
      </w:r>
    </w:p>
    <w:p>
      <w:pPr>
        <w:pStyle w:val="Normal"/>
        <w:rPr>
          <w:b/>
          <w:bCs/>
          <w:u w:val="single"/>
        </w:rPr>
      </w:pPr>
      <w:r>
        <w:rPr>
          <w:b/>
          <w:bCs/>
          <w:u w:val="single"/>
        </w:rPr>
      </w:r>
    </w:p>
    <w:p>
      <w:pPr>
        <w:pStyle w:val="Normal"/>
        <w:rPr>
          <w:b/>
          <w:bCs/>
        </w:rPr>
      </w:pPr>
      <w:r>
        <w:rPr>
          <w:b/>
          <w:bCs/>
        </w:rPr>
        <w:t>A)   Grid Side Utility Involvement in DG</w:t>
      </w:r>
    </w:p>
    <w:p>
      <w:pPr>
        <w:pStyle w:val="Normal"/>
        <w:numPr>
          <w:ilvl w:val="0"/>
          <w:numId w:val="2"/>
        </w:numPr>
        <w:tabs>
          <w:tab w:val="clear" w:pos="720"/>
          <w:tab w:val="left" w:pos="0" w:leader="none"/>
        </w:tabs>
        <w:ind w:hanging="720" w:start="720" w:end="0"/>
        <w:rPr/>
      </w:pPr>
      <w:r>
        <w:rPr/>
        <w:t>Current activities are rather limited, focused on emergency generation and mobile units.</w:t>
      </w:r>
    </w:p>
    <w:p>
      <w:pPr>
        <w:pStyle w:val="Normal"/>
        <w:numPr>
          <w:ilvl w:val="0"/>
          <w:numId w:val="2"/>
        </w:numPr>
        <w:tabs>
          <w:tab w:val="clear" w:pos="720"/>
          <w:tab w:val="left" w:pos="0" w:leader="none"/>
        </w:tabs>
        <w:ind w:hanging="720" w:start="720" w:end="0"/>
        <w:rPr/>
      </w:pPr>
      <w:r>
        <w:rPr/>
        <w:t>Appears to be some but limited interest by vendors, manufacturers in this emergency market.</w:t>
      </w:r>
    </w:p>
    <w:p>
      <w:pPr>
        <w:pStyle w:val="Normal"/>
        <w:numPr>
          <w:ilvl w:val="0"/>
          <w:numId w:val="2"/>
        </w:numPr>
        <w:tabs>
          <w:tab w:val="clear" w:pos="720"/>
          <w:tab w:val="left" w:pos="0" w:leader="none"/>
        </w:tabs>
        <w:ind w:hanging="720" w:start="720" w:end="0"/>
        <w:rPr/>
      </w:pPr>
      <w:r>
        <w:rPr/>
        <w:t xml:space="preserve">Should utilities invest in grid side DG autonomously, or go through a process?  What kind of process?  (see bid section below)  </w:t>
      </w:r>
    </w:p>
    <w:p>
      <w:pPr>
        <w:pStyle w:val="Normal"/>
        <w:numPr>
          <w:ilvl w:val="0"/>
          <w:numId w:val="2"/>
        </w:numPr>
        <w:tabs>
          <w:tab w:val="clear" w:pos="720"/>
          <w:tab w:val="left" w:pos="0" w:leader="none"/>
        </w:tabs>
        <w:ind w:hanging="720" w:start="720" w:end="0"/>
        <w:rPr/>
      </w:pPr>
      <w:r>
        <w:rPr/>
        <w:t xml:space="preserve">Should the utilities be the only owner for these units, or is leasing okay?  (Some utilities are leasing.)  Are other forms of contracting okay?  </w:t>
      </w:r>
    </w:p>
    <w:p>
      <w:pPr>
        <w:pStyle w:val="Normal"/>
        <w:numPr>
          <w:ilvl w:val="0"/>
          <w:numId w:val="2"/>
        </w:numPr>
        <w:tabs>
          <w:tab w:val="clear" w:pos="720"/>
          <w:tab w:val="left" w:pos="0" w:leader="none"/>
        </w:tabs>
        <w:ind w:hanging="360" w:start="720" w:end="0"/>
        <w:rPr/>
      </w:pPr>
      <w:r>
        <w:rPr/>
        <w:t xml:space="preserve">Should energy from these units be sold to the PX or ISO, or should it just be considered negative UFE?  </w:t>
      </w:r>
    </w:p>
    <w:p>
      <w:pPr>
        <w:pStyle w:val="Normal"/>
        <w:rPr/>
      </w:pPr>
      <w:r>
        <w:rPr/>
      </w:r>
    </w:p>
    <w:p>
      <w:pPr>
        <w:pStyle w:val="Normal"/>
        <w:rPr>
          <w:b/>
          <w:bCs/>
        </w:rPr>
      </w:pPr>
      <w:r>
        <w:rPr>
          <w:b/>
          <w:bCs/>
        </w:rPr>
        <w:t>B)  Customer-Side-of-the-Meter Involvement in DG</w:t>
      </w:r>
    </w:p>
    <w:p>
      <w:pPr>
        <w:pStyle w:val="Normal"/>
        <w:numPr>
          <w:ilvl w:val="0"/>
          <w:numId w:val="3"/>
        </w:numPr>
        <w:tabs>
          <w:tab w:val="clear" w:pos="720"/>
          <w:tab w:val="left" w:pos="0" w:leader="none"/>
        </w:tabs>
        <w:ind w:hanging="720" w:start="720" w:end="0"/>
        <w:rPr/>
      </w:pPr>
      <w:r>
        <w:rPr/>
        <w:t>What does customer-side mean?  Examples given ranged from physical location only (tariffed as if on grid side) to alternative utility product.</w:t>
      </w:r>
    </w:p>
    <w:p>
      <w:pPr>
        <w:pStyle w:val="Normal"/>
        <w:numPr>
          <w:ilvl w:val="0"/>
          <w:numId w:val="3"/>
        </w:numPr>
        <w:tabs>
          <w:tab w:val="clear" w:pos="720"/>
          <w:tab w:val="left" w:pos="0" w:leader="none"/>
        </w:tabs>
        <w:ind w:hanging="720" w:start="720" w:end="0"/>
        <w:rPr/>
      </w:pPr>
      <w:r>
        <w:rPr/>
        <w:t>Reasons given to close off the utility from this option:</w:t>
      </w:r>
    </w:p>
    <w:p>
      <w:pPr>
        <w:pStyle w:val="Normal"/>
        <w:numPr>
          <w:ilvl w:val="0"/>
          <w:numId w:val="3"/>
        </w:numPr>
        <w:tabs>
          <w:tab w:val="clear" w:pos="720"/>
          <w:tab w:val="left" w:pos="0" w:leader="none"/>
        </w:tabs>
        <w:ind w:hanging="720" w:start="1440" w:end="0"/>
        <w:rPr/>
      </w:pPr>
      <w:r>
        <w:rPr/>
        <w:t xml:space="preserve">assures no ratepayer subsidies </w:t>
      </w:r>
    </w:p>
    <w:p>
      <w:pPr>
        <w:pStyle w:val="Normal"/>
        <w:numPr>
          <w:ilvl w:val="0"/>
          <w:numId w:val="3"/>
        </w:numPr>
        <w:tabs>
          <w:tab w:val="clear" w:pos="720"/>
          <w:tab w:val="left" w:pos="0" w:leader="none"/>
        </w:tabs>
        <w:ind w:hanging="720" w:start="1440" w:end="0"/>
        <w:rPr/>
      </w:pPr>
      <w:r>
        <w:rPr/>
        <w:t>avoids market power issues</w:t>
      </w:r>
    </w:p>
    <w:p>
      <w:pPr>
        <w:pStyle w:val="Normal"/>
        <w:numPr>
          <w:ilvl w:val="0"/>
          <w:numId w:val="3"/>
        </w:numPr>
        <w:tabs>
          <w:tab w:val="clear" w:pos="720"/>
          <w:tab w:val="left" w:pos="0" w:leader="none"/>
        </w:tabs>
        <w:ind w:hanging="720" w:start="1440" w:end="0"/>
        <w:rPr/>
      </w:pPr>
      <w:r>
        <w:rPr/>
        <w:t>provides a clear boundary between utility and customer</w:t>
      </w:r>
    </w:p>
    <w:p>
      <w:pPr>
        <w:pStyle w:val="Normal"/>
        <w:numPr>
          <w:ilvl w:val="0"/>
          <w:numId w:val="3"/>
        </w:numPr>
        <w:tabs>
          <w:tab w:val="clear" w:pos="720"/>
          <w:tab w:val="left" w:pos="0" w:leader="none"/>
        </w:tabs>
        <w:ind w:hanging="720" w:start="1440" w:end="0"/>
        <w:rPr/>
      </w:pPr>
      <w:r>
        <w:rPr/>
        <w:t>should be an affiliate business, not a utility business</w:t>
      </w:r>
    </w:p>
    <w:p>
      <w:pPr>
        <w:pStyle w:val="Normal"/>
        <w:numPr>
          <w:ilvl w:val="0"/>
          <w:numId w:val="3"/>
        </w:numPr>
        <w:tabs>
          <w:tab w:val="clear" w:pos="720"/>
          <w:tab w:val="left" w:pos="0" w:leader="none"/>
        </w:tabs>
        <w:ind w:hanging="720" w:start="720" w:end="0"/>
        <w:rPr/>
      </w:pPr>
      <w:r>
        <w:rPr/>
        <w:t xml:space="preserve">Reasons given why utility might want to hold this option open:  </w:t>
      </w:r>
    </w:p>
    <w:p>
      <w:pPr>
        <w:pStyle w:val="Normal"/>
        <w:numPr>
          <w:ilvl w:val="0"/>
          <w:numId w:val="3"/>
        </w:numPr>
        <w:tabs>
          <w:tab w:val="clear" w:pos="720"/>
          <w:tab w:val="left" w:pos="0" w:leader="none"/>
        </w:tabs>
        <w:ind w:hanging="720" w:start="1440" w:end="0"/>
        <w:rPr/>
      </w:pPr>
      <w:r>
        <w:rPr/>
        <w:t>logistics may dictate the location of the unit to be on the customer property and it may be impractical to wire to the grid side of the customer meter</w:t>
      </w:r>
    </w:p>
    <w:p>
      <w:pPr>
        <w:pStyle w:val="Normal"/>
        <w:numPr>
          <w:ilvl w:val="0"/>
          <w:numId w:val="3"/>
        </w:numPr>
        <w:tabs>
          <w:tab w:val="clear" w:pos="720"/>
          <w:tab w:val="left" w:pos="0" w:leader="none"/>
        </w:tabs>
        <w:ind w:hanging="720" w:start="1440" w:end="0"/>
        <w:rPr/>
      </w:pPr>
      <w:r>
        <w:rPr/>
        <w:t>limited special situations may best be addressed by utility/customer DG application</w:t>
      </w:r>
    </w:p>
    <w:p>
      <w:pPr>
        <w:pStyle w:val="Normal"/>
        <w:numPr>
          <w:ilvl w:val="0"/>
          <w:numId w:val="3"/>
        </w:numPr>
        <w:tabs>
          <w:tab w:val="clear" w:pos="720"/>
          <w:tab w:val="left" w:pos="0" w:leader="none"/>
        </w:tabs>
        <w:ind w:hanging="720" w:start="1440" w:end="0"/>
        <w:rPr/>
      </w:pPr>
      <w:r>
        <w:rPr/>
        <w:t>limits the options for the  distribution utility in an evolving world (broad uncertainty cited including hydro, RCS, distribution competition)</w:t>
      </w:r>
    </w:p>
    <w:p>
      <w:pPr>
        <w:pStyle w:val="Normal"/>
        <w:numPr>
          <w:ilvl w:val="0"/>
          <w:numId w:val="3"/>
        </w:numPr>
        <w:tabs>
          <w:tab w:val="clear" w:pos="720"/>
          <w:tab w:val="left" w:pos="0" w:leader="none"/>
        </w:tabs>
        <w:ind w:hanging="720" w:start="720" w:end="0"/>
        <w:rPr/>
      </w:pPr>
      <w:r>
        <w:rPr/>
        <w:t xml:space="preserve">What kind of limitations might a utility, interested in holding its options open, be willing to commit to?  (e.g., no ratepayer subsidies, 5 year blackout, etc.)  </w:t>
      </w:r>
    </w:p>
    <w:p>
      <w:pPr>
        <w:pStyle w:val="Normal"/>
        <w:numPr>
          <w:ilvl w:val="0"/>
          <w:numId w:val="3"/>
        </w:numPr>
        <w:tabs>
          <w:tab w:val="clear" w:pos="720"/>
          <w:tab w:val="left" w:pos="0" w:leader="none"/>
        </w:tabs>
        <w:ind w:hanging="360" w:start="720" w:end="0"/>
        <w:rPr/>
      </w:pPr>
      <w:r>
        <w:rPr/>
        <w:t>What kind of conditions should there be for a utility’s unregulated affiliate to participate in the market?  Conditions mentioned included:  affiliate rules, code of conduct, standard interconnection, open access distribution tariff, and transparency of planning.</w:t>
      </w:r>
    </w:p>
    <w:p>
      <w:pPr>
        <w:pStyle w:val="Normal"/>
        <w:rPr/>
      </w:pPr>
      <w:r>
        <w:rPr/>
      </w:r>
    </w:p>
    <w:p>
      <w:pPr>
        <w:pStyle w:val="Normal"/>
        <w:rPr>
          <w:b/>
          <w:bCs/>
        </w:rPr>
      </w:pPr>
      <w:r>
        <w:rPr>
          <w:b/>
          <w:bCs/>
        </w:rPr>
        <w:t>C)  Incentives</w:t>
      </w:r>
    </w:p>
    <w:p>
      <w:pPr>
        <w:pStyle w:val="Normal"/>
        <w:numPr>
          <w:ilvl w:val="0"/>
          <w:numId w:val="4"/>
        </w:numPr>
        <w:tabs>
          <w:tab w:val="clear" w:pos="720"/>
          <w:tab w:val="left" w:pos="0" w:leader="none"/>
        </w:tabs>
        <w:ind w:hanging="720" w:start="720" w:end="0"/>
        <w:rPr/>
      </w:pPr>
      <w:r>
        <w:rPr/>
        <w:t>Is PBR alone an adequate motivation for a utility to seek use of DG?</w:t>
      </w:r>
    </w:p>
    <w:p>
      <w:pPr>
        <w:pStyle w:val="Normal"/>
        <w:numPr>
          <w:ilvl w:val="0"/>
          <w:numId w:val="4"/>
        </w:numPr>
        <w:tabs>
          <w:tab w:val="clear" w:pos="720"/>
          <w:tab w:val="left" w:pos="0" w:leader="none"/>
        </w:tabs>
        <w:ind w:hanging="720" w:start="720" w:end="0"/>
        <w:rPr/>
      </w:pPr>
      <w:r>
        <w:rPr/>
        <w:t xml:space="preserve">Would additional performance incentives, such as rewards for competitive market facilitation,  be doable and/or useful? </w:t>
      </w:r>
    </w:p>
    <w:p>
      <w:pPr>
        <w:pStyle w:val="Normal"/>
        <w:numPr>
          <w:ilvl w:val="0"/>
          <w:numId w:val="4"/>
        </w:numPr>
        <w:tabs>
          <w:tab w:val="clear" w:pos="720"/>
          <w:tab w:val="left" w:pos="0" w:leader="none"/>
        </w:tabs>
        <w:ind w:hanging="360" w:start="720" w:end="0"/>
        <w:rPr/>
      </w:pPr>
      <w:r>
        <w:rPr/>
        <w:t>Might the utility be able to give customers incentives to locate DG in identified areas?</w:t>
      </w:r>
    </w:p>
    <w:p>
      <w:pPr>
        <w:pStyle w:val="Normal"/>
        <w:rPr/>
      </w:pPr>
      <w:r>
        <w:rPr/>
      </w:r>
    </w:p>
    <w:p>
      <w:pPr>
        <w:pStyle w:val="Normal"/>
        <w:rPr>
          <w:b/>
          <w:bCs/>
        </w:rPr>
      </w:pPr>
      <w:r>
        <w:rPr>
          <w:b/>
          <w:bCs/>
        </w:rPr>
        <w:t>D)  Protocols/Bids/RFPs/Tariff Changes</w:t>
      </w:r>
    </w:p>
    <w:p>
      <w:pPr>
        <w:pStyle w:val="Normal"/>
        <w:rPr/>
      </w:pPr>
      <w:r>
        <w:rPr/>
        <w:t>(probably more discussion to follow)</w:t>
      </w:r>
    </w:p>
    <w:p>
      <w:pPr>
        <w:pStyle w:val="Normal"/>
        <w:numPr>
          <w:ilvl w:val="0"/>
          <w:numId w:val="5"/>
        </w:numPr>
        <w:tabs>
          <w:tab w:val="clear" w:pos="720"/>
          <w:tab w:val="left" w:pos="0" w:leader="none"/>
        </w:tabs>
        <w:ind w:hanging="720" w:start="720" w:end="0"/>
        <w:rPr/>
      </w:pPr>
      <w:r>
        <w:rPr/>
        <w:t>Ways to encourage customer/vendor DG participation to support the grid discussed included:</w:t>
      </w:r>
    </w:p>
    <w:p>
      <w:pPr>
        <w:pStyle w:val="Normal"/>
        <w:numPr>
          <w:ilvl w:val="0"/>
          <w:numId w:val="5"/>
        </w:numPr>
        <w:tabs>
          <w:tab w:val="clear" w:pos="720"/>
          <w:tab w:val="left" w:pos="0" w:leader="none"/>
        </w:tabs>
        <w:ind w:hanging="720" w:start="1440" w:end="0"/>
        <w:rPr/>
      </w:pPr>
      <w:r>
        <w:rPr/>
        <w:t xml:space="preserve">informal to formal procurement tools and/or solicitations when utility sees a need that might be met by DG </w:t>
      </w:r>
    </w:p>
    <w:p>
      <w:pPr>
        <w:pStyle w:val="Normal"/>
        <w:numPr>
          <w:ilvl w:val="0"/>
          <w:numId w:val="5"/>
        </w:numPr>
        <w:tabs>
          <w:tab w:val="clear" w:pos="720"/>
          <w:tab w:val="left" w:pos="0" w:leader="none"/>
        </w:tabs>
        <w:ind w:hanging="720" w:start="1440" w:end="0"/>
        <w:rPr/>
      </w:pPr>
      <w:r>
        <w:rPr/>
        <w:t>posted incentives for targeted areas for load shedding or DG</w:t>
      </w:r>
    </w:p>
    <w:p>
      <w:pPr>
        <w:pStyle w:val="Normal"/>
        <w:numPr>
          <w:ilvl w:val="0"/>
          <w:numId w:val="5"/>
        </w:numPr>
        <w:tabs>
          <w:tab w:val="clear" w:pos="720"/>
          <w:tab w:val="left" w:pos="0" w:leader="none"/>
        </w:tabs>
        <w:ind w:hanging="720" w:start="1440" w:end="0"/>
        <w:rPr/>
      </w:pPr>
      <w:r>
        <w:rPr/>
        <w:t>long-term standing tariffs for all circuits that reflect value to utility of DG/DER contribution</w:t>
      </w:r>
    </w:p>
    <w:p>
      <w:pPr>
        <w:pStyle w:val="Normal"/>
        <w:numPr>
          <w:ilvl w:val="0"/>
          <w:numId w:val="5"/>
        </w:numPr>
        <w:tabs>
          <w:tab w:val="clear" w:pos="720"/>
          <w:tab w:val="left" w:pos="0" w:leader="none"/>
        </w:tabs>
        <w:ind w:hanging="720" w:start="720" w:end="0"/>
        <w:rPr/>
      </w:pPr>
      <w:r>
        <w:rPr/>
        <w:t>Concerns identified</w:t>
      </w:r>
    </w:p>
    <w:p>
      <w:pPr>
        <w:pStyle w:val="Normal"/>
        <w:numPr>
          <w:ilvl w:val="0"/>
          <w:numId w:val="5"/>
        </w:numPr>
        <w:tabs>
          <w:tab w:val="clear" w:pos="720"/>
          <w:tab w:val="left" w:pos="0" w:leader="none"/>
        </w:tabs>
        <w:ind w:hanging="720" w:start="1440" w:end="0"/>
        <w:rPr/>
      </w:pPr>
      <w:r>
        <w:rPr/>
        <w:t>costs, administrative hassle may swamp the value of the DG solution</w:t>
      </w:r>
    </w:p>
    <w:p>
      <w:pPr>
        <w:pStyle w:val="Normal"/>
        <w:numPr>
          <w:ilvl w:val="0"/>
          <w:numId w:val="5"/>
        </w:numPr>
        <w:tabs>
          <w:tab w:val="clear" w:pos="720"/>
          <w:tab w:val="left" w:pos="0" w:leader="none"/>
        </w:tabs>
        <w:ind w:hanging="720" w:start="1440" w:end="0"/>
        <w:rPr/>
      </w:pPr>
      <w:r>
        <w:rPr/>
        <w:t>difficulty in implementation of area incentives (e.g., volume of projects, portions of a circuit)</w:t>
      </w:r>
    </w:p>
    <w:p>
      <w:pPr>
        <w:pStyle w:val="Normal"/>
        <w:numPr>
          <w:ilvl w:val="0"/>
          <w:numId w:val="5"/>
        </w:numPr>
        <w:tabs>
          <w:tab w:val="clear" w:pos="720"/>
          <w:tab w:val="left" w:pos="0" w:leader="none"/>
        </w:tabs>
        <w:ind w:hanging="360" w:start="1440" w:end="0"/>
        <w:rPr/>
      </w:pPr>
      <w:r>
        <w:rPr/>
        <w:t>some distribution needs are very time-sensitive and fluctuating</w:t>
      </w:r>
    </w:p>
    <w:p>
      <w:pPr>
        <w:pStyle w:val="Normal"/>
        <w:rPr/>
      </w:pPr>
      <w:r>
        <w:rPr/>
      </w:r>
    </w:p>
    <w:p>
      <w:pPr>
        <w:pStyle w:val="Normal"/>
        <w:rPr/>
      </w:pPr>
      <w:r>
        <w:rPr/>
        <w:t xml:space="preserve"> </w:t>
      </w:r>
    </w:p>
    <w:p>
      <w:pPr>
        <w:pStyle w:val="Normal"/>
        <w:rPr>
          <w:b/>
          <w:bCs/>
          <w:u w:val="single"/>
        </w:rPr>
      </w:pPr>
      <w:r>
        <w:rPr>
          <w:b/>
          <w:bCs/>
          <w:u w:val="single"/>
        </w:rPr>
        <w:t xml:space="preserve">Next Steps:  </w:t>
      </w:r>
    </w:p>
    <w:p>
      <w:pPr>
        <w:pStyle w:val="Normal"/>
        <w:rPr/>
      </w:pPr>
      <w:r>
        <w:rPr/>
        <w:t xml:space="preserve">     </w:t>
      </w:r>
      <w:r>
        <w:rPr/>
        <w:t>The group will convene again at the CMTA office in Sacramento from 9:30 to 5 on Monday, April 24.  The office is located at 980 Ninth Street, Suite 2200, and the office’s general phone number is (916) 441-5420.   Planning and distribution-only wheeling will be on the agenda.  Additional topics that might be discussed at this meeting or the next include valuation, interconnection issues and net metering.  May 9</w:t>
      </w:r>
      <w:r>
        <w:rPr>
          <w:vertAlign w:val="superscript"/>
        </w:rPr>
        <w:t>th</w:t>
      </w:r>
      <w:r>
        <w:rPr/>
        <w:t xml:space="preserve"> is the placeholder day for the subsequent meeting of the group.  </w:t>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Settlement Discussion Material, Subject to Rule 51 of the CPUC’s Rules of Practice and Procedure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2000-04-20T18:47:00Z</dcterms:created>
  <dc:creator>A Valued Microsoft Customer</dc:creator>
  <dc:description/>
  <dc:language>en-CA</dc:language>
  <cp:lastModifiedBy>A Valued Microsoft Customer</cp:lastModifiedBy>
  <cp:lastPrinted>2000-04-20T14:12:00Z</cp:lastPrinted>
  <dcterms:modified xsi:type="dcterms:W3CDTF">2000-04-20T18:47:00Z</dcterms:modified>
  <cp:revision>2</cp:revision>
  <dc:subject/>
  <dc:title>MEETING SUMMARY</dc:title>
</cp:coreProperties>
</file>