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26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80"/>
        <w:gridCol w:w="9496"/>
        <w:gridCol w:w="50"/>
      </w:tblGrid>
      <w:tr>
        <w:trPr/>
        <w:tc>
          <w:tcPr>
            <w:tcW w:w="9726" w:type="dxa"/>
            <w:gridSpan w:val="3"/>
            <w:tcBorders/>
            <w:vAlign w:val="center"/>
          </w:tcPr>
          <w:p>
            <w:pPr>
              <w:pStyle w:val="Normal"/>
              <w:spacing w:before="0" w:after="240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/>
              <w:drawing>
                <wp:inline distT="0" distB="0" distL="0" distR="0">
                  <wp:extent cx="6096000" cy="476250"/>
                  <wp:effectExtent l="0" t="0" r="0" b="0"/>
                  <wp:docPr id="1" name="b_sp_logo_positive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_sp_logo_positive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6" t="-76" r="-6" b="-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9726" w:type="dxa"/>
            <w:gridSpan w:val="3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/>
              <w:drawing>
                <wp:inline distT="0" distB="0" distL="0" distR="0">
                  <wp:extent cx="190500" cy="142875"/>
                  <wp:effectExtent l="0" t="0" r="0" b="0"/>
                  <wp:docPr id="2" name="Image3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89" t="-252" r="-189" b="-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/>
        <w:tc>
          <w:tcPr>
            <w:tcW w:w="180" w:type="dxa"/>
            <w:tcBorders/>
            <w:vAlign w:val="center"/>
          </w:tcPr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</w:rPr>
              <w:drawing>
                <wp:inline distT="0" distB="0" distL="0" distR="0">
                  <wp:extent cx="95250" cy="9525"/>
                  <wp:effectExtent l="0" t="0" r="0" b="0"/>
                  <wp:docPr id="3" name="spacer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pacer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3846" t="-3846" r="-3846" b="-3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9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6" w:type="dxa"/>
            <w:tcBorders/>
            <w:vAlign w:val="center"/>
          </w:tcPr>
          <w:tbl>
            <w:tblPr>
              <w:tblW w:w="9450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5297"/>
              <w:gridCol w:w="4153"/>
            </w:tblGrid>
            <w:tr>
              <w:trPr/>
              <w:tc>
                <w:tcPr>
                  <w:tcW w:w="5297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45"/>
                      <w:szCs w:val="45"/>
                    </w:rPr>
                    <w:t>Research:</w:t>
                  </w:r>
                </w:p>
              </w:tc>
              <w:tc>
                <w:tcPr>
                  <w:tcW w:w="4153" w:type="dxa"/>
                  <w:tcBorders/>
                </w:tcPr>
                <w:p>
                  <w:pPr>
                    <w:pStyle w:val="Normal"/>
                    <w:jc w:val="end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hyperlink r:id="rId5">
                    <w:r>
                      <w:rPr>
                        <w:rStyle w:val="Hyperlink"/>
                        <w:rFonts w:cs="Arial" w:ascii="Arial" w:hAnsi="Arial"/>
                        <w:sz w:val="15"/>
                        <w:szCs w:val="15"/>
                      </w:rPr>
                      <w:t>Return to Regular Format</w:t>
                    </w:r>
                  </w:hyperlink>
                </w:p>
              </w:tc>
            </w:tr>
            <w:tr>
              <w:trPr/>
              <w:tc>
                <w:tcPr>
                  <w:tcW w:w="9450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rFonts w:cs="Arial" w:ascii="Arial" w:hAnsi="Arial"/>
                      <w:b/>
                      <w:bCs/>
                      <w:sz w:val="34"/>
                      <w:szCs w:val="34"/>
                    </w:rPr>
                    <w:t xml:space="preserve">Enron's Rating Cut to 'B-'; Doubt Cast on Dynegy Merger </w:t>
                  </w:r>
                </w:p>
              </w:tc>
            </w:tr>
            <w:tr>
              <w:trPr/>
              <w:tc>
                <w:tcPr>
                  <w:tcW w:w="9450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snapToGrid w:val="false"/>
                    <w:rPr>
                      <w:rFonts w:ascii="Arial Unicode MS" w:hAnsi="Arial Unicode MS" w:eastAsia="Arial Unicode MS" w:cs="Arial Unicode MS"/>
                      <w:color w:val="000000"/>
                      <w:sz w:val="20"/>
                      <w:szCs w:val="20"/>
                    </w:rPr>
                  </w:pPr>
                  <w:r>
                    <w:rPr>
                      <w:rFonts w:eastAsia="Arial Unicode MS" w:cs="Arial Unicode MS" w:ascii="Arial Unicode MS" w:hAnsi="Arial Unicode MS"/>
                      <w:color w:val="000000"/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9450" w:type="dxa"/>
                  <w:gridSpan w:val="2"/>
                  <w:tcBorders/>
                  <w:vAlign w:val="center"/>
                </w:tcPr>
                <w:tbl>
                  <w:tblPr>
                    <w:tblW w:w="7015" w:type="dxa"/>
                    <w:jc w:val="start"/>
                    <w:tblInd w:w="8" w:type="dxa"/>
                    <w:tblLayout w:type="fixed"/>
                    <w:tblCellMar>
                      <w:top w:w="30" w:type="dxa"/>
                      <w:start w:w="30" w:type="dxa"/>
                      <w:bottom w:w="30" w:type="dxa"/>
                      <w:end w:w="30" w:type="dxa"/>
                    </w:tblCellMar>
                  </w:tblPr>
                  <w:tblGrid>
                    <w:gridCol w:w="1887"/>
                    <w:gridCol w:w="5128"/>
                  </w:tblGrid>
                  <w:tr>
                    <w:trPr/>
                    <w:tc>
                      <w:tcPr>
                        <w:tcW w:w="188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 Unicode MS" w:hAnsi="Arial Unicode MS" w:eastAsia="Arial Unicode MS" w:cs="Arial Unicode MS"/>
                            <w:color w:val="000000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22"/>
                            <w:szCs w:val="22"/>
                          </w:rPr>
                          <w:t>Publication Date:</w:t>
                        </w:r>
                      </w:p>
                    </w:tc>
                    <w:tc>
                      <w:tcPr>
                        <w:tcW w:w="5128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 Unicode MS" w:hAnsi="Arial Unicode MS" w:eastAsia="Arial Unicode MS" w:cs="Arial Unicode MS"/>
                            <w:color w:val="000000"/>
                          </w:rPr>
                        </w:pPr>
                        <w:r>
                          <w:rPr>
                            <w:rFonts w:cs="Arial" w:ascii="Arial" w:hAnsi="Arial"/>
                            <w:sz w:val="22"/>
                            <w:szCs w:val="22"/>
                          </w:rPr>
                          <w:t>28-Nov-2001</w:t>
                        </w:r>
                      </w:p>
                    </w:tc>
                  </w:tr>
                  <w:tr>
                    <w:trPr/>
                    <w:tc>
                      <w:tcPr>
                        <w:tcW w:w="1887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 Unicode MS" w:hAnsi="Arial Unicode MS" w:eastAsia="Arial Unicode MS" w:cs="Arial Unicode MS"/>
                            <w:color w:val="000000"/>
                          </w:rPr>
                        </w:pPr>
                        <w:r>
                          <w:rPr>
                            <w:rFonts w:cs="Arial" w:ascii="Arial" w:hAnsi="Arial"/>
                            <w:b/>
                            <w:bCs/>
                            <w:sz w:val="22"/>
                            <w:szCs w:val="22"/>
                          </w:rPr>
                          <w:t>Analyst:</w:t>
                        </w:r>
                      </w:p>
                    </w:tc>
                    <w:tc>
                      <w:tcPr>
                        <w:tcW w:w="5128" w:type="dxa"/>
                        <w:tcBorders/>
                        <w:vAlign w:val="center"/>
                      </w:tcPr>
                      <w:p>
                        <w:pPr>
                          <w:pStyle w:val="Normal"/>
                          <w:rPr>
                            <w:rFonts w:ascii="Arial Unicode MS" w:hAnsi="Arial Unicode MS" w:eastAsia="Arial Unicode MS" w:cs="Arial Unicode MS"/>
                            <w:color w:val="000000"/>
                          </w:rPr>
                        </w:pPr>
                        <w:r>
                          <w:rPr>
                            <w:rFonts w:cs="Arial" w:ascii="Arial" w:hAnsi="Arial"/>
                            <w:sz w:val="22"/>
                            <w:szCs w:val="22"/>
                          </w:rPr>
                          <w:t xml:space="preserve">Todd A Shipman, CFA, New York (1) 212-438-7676 </w:t>
                        </w:r>
                      </w:p>
                    </w:tc>
                  </w:tr>
                </w:tbl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rFonts w:eastAsia="Arial Unicode MS" w:cs="Arial Unicode MS" w:ascii="Arial Unicode MS" w:hAnsi="Arial Unicode MS"/>
                      <w:color w:val="000000"/>
                    </w:rPr>
                  </w:r>
                </w:p>
              </w:tc>
            </w:tr>
          </w:tbl>
          <w:p>
            <w:pPr>
              <w:pStyle w:val="Normal"/>
              <w:rPr>
                <w:rFonts w:ascii="Arial Unicode MS" w:hAnsi="Arial Unicode MS" w:eastAsia="Arial Unicode MS" w:cs="Arial Unicode MS"/>
                <w:color w:val="000000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</w:rPr>
            </w:r>
          </w:p>
        </w:tc>
        <w:tc>
          <w:tcPr>
            <w:tcW w:w="50" w:type="dxa"/>
            <w:tcBorders/>
            <w:vAlign w:val="center"/>
          </w:tcPr>
          <w:p>
            <w:pPr>
              <w:pStyle w:val="Normal"/>
              <w:snapToGrid w:val="false"/>
              <w:rPr>
                <w:rFonts w:ascii="Arial Unicode MS" w:hAnsi="Arial Unicode MS" w:eastAsia="Arial Unicode MS" w:cs="Arial Unicode MS"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 w:ascii="Arial Unicode MS" w:hAnsi="Arial Unicode MS"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9646" w:type="dxa"/>
        <w:jc w:val="start"/>
        <w:tblInd w:w="-15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9646"/>
      </w:tblGrid>
      <w:tr>
        <w:trPr/>
        <w:tc>
          <w:tcPr>
            <w:tcW w:w="9646" w:type="dxa"/>
            <w:tcBorders/>
            <w:vAlign w:val="center"/>
          </w:tcPr>
          <w:p>
            <w:pPr>
              <w:pStyle w:val="Normal"/>
              <w:rPr/>
            </w:pPr>
            <w:r>
              <w:rPr/>
              <w:br/>
              <w:br/>
            </w:r>
          </w:p>
          <w:tbl>
            <w:tblPr>
              <w:tblW w:w="9600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180"/>
              <w:gridCol w:w="9420"/>
            </w:tblGrid>
            <w:tr>
              <w:trPr/>
              <w:tc>
                <w:tcPr>
                  <w:tcW w:w="180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/>
                    <w:drawing>
                      <wp:inline distT="0" distB="0" distL="0" distR="0">
                        <wp:extent cx="95250" cy="9525"/>
                        <wp:effectExtent l="0" t="0" r="0" b="0"/>
                        <wp:docPr id="4" name="Image1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Image1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 l="-3846" t="-3846" r="-3846" b="-38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420" w:type="dxa"/>
                  <w:tcBorders/>
                  <w:vAlign w:val="center"/>
                </w:tcPr>
                <w:p>
                  <w:pPr>
                    <w:pStyle w:val="HTMLPreformatted"/>
                    <w:snapToGrid w:val="false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rFonts w:eastAsia="Arial Unicode MS" w:cs="Arial Unicode MS"/>
                      <w:color w:val="000000"/>
                    </w:rPr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NEW YORK (Standard &amp; Poor's) Nov. 28, 2001--Standard &amp;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Poor's today lowered its long-term corporate credit rating on Enron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Corp. to single-'B' minus from triple-'B'-minus, as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well as other Enron ratings and those of most of its subsidiaries due to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concerns about the viability of the merger agreement with Dynegy Inc. and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the liquidity implications of the possible failure of that transaction.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The 'A-3' short-term rating is withdrawn. The ratings are placed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on CreditWatch with developing implications (see list below).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ab/>
                    <w:t>The rating action is based on Standard &amp; Poor's loss of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confidence that the Dynegy merger will be consummated. The willingness of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Dynegy to complete its planned acquisition of Enron has been compromised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by the continued drop in confidence in the capital markets that the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transaction would hold. The market reaction has spread to the energy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markets, where Enron's trading and marketing franchise has, in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Standard &amp; Poor's opinion, sustained significant damage that,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together with rising potential legal liabilities, weakens Dynegy's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commitment to purchase Enron.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ab/>
                    <w:t>A collapse of the Dynegy deal would create enormous pressure on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Enron's credit profile because of Enron's limited access to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capital at a time when extensive debt restructuring is necessary.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Furthermore, Enron faces rising liquidity needs in connection with its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trading activities as counterparties demand greater assurances to transact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business with Enron. A move by Enron to seek protection from its creditors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through a voluntary filing under Chapter 11 of the U.S. Bankruptcy Code is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a distinct possibility if the merger falls through.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ab/>
                    <w:t>The change in CreditWatch implications to developing reflects the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possibility that Enron's ratings can move higher or lower from the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single-'B'-minus' level. If the Dynegy merger or a similar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transaction materializes, the rating could be upgraded. In the absence of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Dynegy or another partner, the credit quality of an independent Enron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could go even lower.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RATINGS LOWERED, ON CREDITWATCH DEVELOPING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Enron Corp.                              TO        FROM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Long-term corporate credit rating      B-        BBB-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Senior unsecured debt                  B-        BBB-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Subordinated debt                      CCC       BB+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Preferred stock                        CCC-      BB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Transwestern Pipeline Co.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Corporate credit rating                B-        BBB-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Northern Natural Gas Co.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Corporate credit rating                B-        BBB-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Senior unsecured debt                  B-        BBB-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Marlin Water Trust II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Corporate credit rating                CCC+      BB+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Senior secured debt                    CCC+      BB+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Enron Capital LLC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Preferred stock*                       CCC-      BB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Enron Capital Resources L.P.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Preferred stock*                       CCC-      BB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Enron Capital Trust I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Preferred stock*                       CCC-      BB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Enron Capital Trust II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Preferred stock*                       CCC-      BB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*Guaranteed by Enron Corp.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Osprey Inc.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Corporate credit rating                CCC+      BB+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Senior secured debt                    CCC+      BB+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Osprey Trust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Corporate credit rating                CCC+      BB+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Senior secured debt                    CCC+      BB+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Enron Funding Corp.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Corporate credit rating                B-        BBB-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RATINGS AFFIRMED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Enron Funding Corp.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Senior unsecured debt                  AA-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RATINGS WITHDRAWN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>Enron Corp.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Short-term corporate credit rating     A-3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 xml:space="preserve">  </w:t>
                  </w:r>
                  <w:r>
                    <w:rPr/>
                    <w:t>Commercial paper                       A-3</w:t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</w:r>
                </w:p>
                <w:p>
                  <w:pPr>
                    <w:pStyle w:val="HTMLPreformatted"/>
                    <w:rPr/>
                  </w:pPr>
                  <w:r>
                    <w:rPr/>
                    <w:tab/>
                    <w:tab/>
                  </w:r>
                </w:p>
              </w:tc>
            </w:tr>
          </w:tbl>
          <w:p>
            <w:pPr>
              <w:pStyle w:val="Normal"/>
              <w:rPr>
                <w:rFonts w:ascii="Arial" w:hAnsi="Arial" w:cs="Arial"/>
                <w:vanish/>
                <w:sz w:val="22"/>
                <w:szCs w:val="22"/>
              </w:rPr>
            </w:pPr>
            <w:r>
              <w:rPr>
                <w:rFonts w:cs="Arial" w:ascii="Arial" w:hAnsi="Arial"/>
                <w:vanish/>
                <w:sz w:val="22"/>
                <w:szCs w:val="22"/>
              </w:rPr>
            </w:r>
          </w:p>
          <w:tbl>
            <w:tblPr>
              <w:tblW w:w="9600" w:type="dxa"/>
              <w:jc w:val="start"/>
              <w:tblInd w:w="8" w:type="dxa"/>
              <w:tblLayout w:type="fixed"/>
              <w:tblCellMar>
                <w:top w:w="0" w:type="dxa"/>
                <w:start w:w="0" w:type="dxa"/>
                <w:bottom w:w="0" w:type="dxa"/>
                <w:end w:w="0" w:type="dxa"/>
              </w:tblCellMar>
            </w:tblPr>
            <w:tblGrid>
              <w:gridCol w:w="6550"/>
              <w:gridCol w:w="3050"/>
            </w:tblGrid>
            <w:tr>
              <w:trPr/>
              <w:tc>
                <w:tcPr>
                  <w:tcW w:w="9600" w:type="dxa"/>
                  <w:gridSpan w:val="2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/>
                    <w:drawing>
                      <wp:inline distT="0" distB="0" distL="0" distR="0">
                        <wp:extent cx="123825" cy="123825"/>
                        <wp:effectExtent l="0" t="0" r="0" b="0"/>
                        <wp:docPr id="5" name="Image2" descr="" titl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2" descr="" titl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 l="-3846" t="-3846" r="-3846" b="-384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382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/>
              <w:tc>
                <w:tcPr>
                  <w:tcW w:w="6550" w:type="dxa"/>
                  <w:tcBorders/>
                  <w:vAlign w:val="center"/>
                </w:tcPr>
                <w:p>
                  <w:pPr>
                    <w:pStyle w:val="Normal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rFonts w:cs="Arial" w:ascii="Arial" w:hAnsi="Arial"/>
                      <w:sz w:val="15"/>
                      <w:szCs w:val="15"/>
                    </w:rPr>
                    <w:t>  </w:t>
                  </w:r>
                  <w:r>
                    <w:rPr>
                      <w:rFonts w:cs="Arial" w:ascii="Arial" w:hAnsi="Arial"/>
                      <w:sz w:val="15"/>
                      <w:szCs w:val="15"/>
                    </w:rPr>
                    <w:t>Copyright © 1994-2001 Standard &amp; Poor's. All Rights Reserved.  </w:t>
                  </w:r>
                  <w:hyperlink r:id="rId8" w:tgtFrame="_new">
                    <w:r>
                      <w:rPr>
                        <w:rStyle w:val="Hyperlink"/>
                        <w:rFonts w:cs="Arial" w:ascii="Arial" w:hAnsi="Arial"/>
                        <w:sz w:val="15"/>
                        <w:szCs w:val="15"/>
                      </w:rPr>
                      <w:t>Privacy Policy</w:t>
                    </w:r>
                  </w:hyperlink>
                </w:p>
              </w:tc>
              <w:tc>
                <w:tcPr>
                  <w:tcW w:w="3050" w:type="dxa"/>
                  <w:tcBorders/>
                  <w:vAlign w:val="center"/>
                </w:tcPr>
                <w:p>
                  <w:pPr>
                    <w:pStyle w:val="Normal"/>
                    <w:jc w:val="end"/>
                    <w:rPr>
                      <w:rFonts w:ascii="Arial Unicode MS" w:hAnsi="Arial Unicode MS" w:eastAsia="Arial Unicode MS" w:cs="Arial Unicode MS"/>
                      <w:color w:val="000000"/>
                    </w:rPr>
                  </w:pPr>
                  <w:r>
                    <w:rPr>
                      <w:color w:val="003366"/>
                    </w:rPr>
                    <w:drawing>
                      <wp:inline distT="0" distB="0" distL="0" distR="0">
                        <wp:extent cx="1571625" cy="285750"/>
                        <wp:effectExtent l="0" t="0" r="0" b="0"/>
                        <wp:docPr id="6" name="mgh_logo" descr="" title="">
                          <a:hlinkClick xmlns:a="http://schemas.openxmlformats.org/drawingml/2006/main" r:id="rId1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mgh_logo" descr="" title="">
                                  <a:hlinkClick r:id="rId1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 l="-23" t="-126" r="-23" b="-12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71625" cy="2857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Normal"/>
              <w:rPr>
                <w:rFonts w:ascii="Arial" w:hAnsi="Arial" w:eastAsia="Arial Unicode MS" w:cs="Arial"/>
                <w:color w:val="000000"/>
                <w:sz w:val="22"/>
                <w:szCs w:val="22"/>
              </w:rPr>
            </w:pPr>
            <w:r>
              <w:rPr>
                <w:rFonts w:eastAsia="Arial Unicode MS" w:cs="Arial" w:ascii="Arial" w:hAnsi="Arial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Unicode MS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strike w:val="false"/>
      <w:dstrike w:val="false"/>
      <w:color w:val="003366"/>
      <w:u w:val="no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  <w:color w:val="000000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http://www.ratingsdirect.com/cgi-bin/gx.cgi/AppLogic+GetArticle?Article_id=221140&amp;Print=No" TargetMode="External"/><Relationship Id="rId6" Type="http://schemas.openxmlformats.org/officeDocument/2006/relationships/image" Target="media/image3.png"/><Relationship Id="rId7" Type="http://schemas.openxmlformats.org/officeDocument/2006/relationships/image" Target="media/image3.png"/><Relationship Id="rId8" Type="http://schemas.openxmlformats.org/officeDocument/2006/relationships/hyperlink" Target="http://www.mcgraw-hill.com/privacy.html" TargetMode="External"/><Relationship Id="rId9" Type="http://schemas.openxmlformats.org/officeDocument/2006/relationships/image" Target="media/image4.png"/><Relationship Id="rId10" Type="http://schemas.openxmlformats.org/officeDocument/2006/relationships/hyperlink" Target="http://www.mcgraw-hill.com/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2001-11-28T13:45:00Z</dcterms:created>
  <dc:creator>srance</dc:creator>
  <dc:description/>
  <dc:language>en-CA</dc:language>
  <cp:lastModifiedBy>srance</cp:lastModifiedBy>
  <dcterms:modified xsi:type="dcterms:W3CDTF">2001-11-28T13:46:00Z</dcterms:modified>
  <cp:revision>1</cp:revision>
  <dc:subject/>
  <dc:title> </dc:title>
</cp:coreProperties>
</file>