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sz w:val="32"/>
          <w:u w:val="single"/>
        </w:rPr>
      </w:pPr>
      <w:r>
        <w:rPr>
          <w:sz w:val="32"/>
          <w:u w:val="single"/>
        </w:rPr>
        <w:t>DRAFT</w:t>
      </w:r>
    </w:p>
    <w:p>
      <w:pPr>
        <w:pStyle w:val="Heading"/>
        <w:rPr>
          <w:sz w:val="32"/>
          <w:u w:val="single"/>
        </w:rPr>
      </w:pPr>
      <w:r>
        <w:rPr>
          <w:sz w:val="32"/>
          <w:u w:val="single"/>
        </w:rPr>
      </w:r>
    </w:p>
    <w:p>
      <w:pPr>
        <w:pStyle w:val="Heading"/>
        <w:rPr>
          <w:u w:val="single"/>
        </w:rPr>
      </w:pPr>
      <w:r>
        <w:rPr>
          <w:u w:val="single"/>
        </w:rPr>
      </w:r>
    </w:p>
    <w:p>
      <w:pPr>
        <w:pStyle w:val="Heading"/>
        <w:rPr>
          <w:u w:val="single"/>
        </w:rPr>
      </w:pPr>
      <w:r>
        <w:rPr>
          <w:u w:val="single"/>
        </w:rPr>
      </w:r>
    </w:p>
    <w:p>
      <w:pPr>
        <w:pStyle w:val="Heading"/>
        <w:rPr>
          <w:u w:val="single"/>
        </w:rPr>
      </w:pPr>
      <w:r>
        <w:rPr>
          <w:u w:val="single"/>
        </w:rPr>
      </w:r>
    </w:p>
    <w:p>
      <w:pPr>
        <w:pStyle w:val="Heading"/>
        <w:rPr>
          <w:u w:val="single"/>
        </w:rPr>
      </w:pPr>
      <w:r>
        <w:rPr>
          <w:u w:val="single"/>
        </w:rPr>
      </w:r>
    </w:p>
    <w:p>
      <w:pPr>
        <w:pStyle w:val="Heading"/>
        <w:rPr>
          <w:b w:val="false"/>
        </w:rPr>
      </w:pPr>
      <w:r>
        <w:rPr>
          <w:b w:val="false"/>
        </w:rPr>
        <w:tab/>
        <w:tab/>
        <w:tab/>
        <w:tab/>
        <w:t>Buenos Aires, November      , 1998</w:t>
      </w:r>
    </w:p>
    <w:p>
      <w:pPr>
        <w:pStyle w:val="Normal"/>
        <w:spacing w:before="240" w:after="0"/>
        <w:jc w:val="both"/>
        <w:rPr>
          <w:sz w:val="24"/>
        </w:rPr>
      </w:pPr>
      <w:r>
        <w:rPr>
          <w:sz w:val="24"/>
        </w:rPr>
        <w:t>Messrs.</w:t>
      </w:r>
    </w:p>
    <w:p>
      <w:pPr>
        <w:pStyle w:val="Heading3"/>
        <w:ind w:hanging="0" w:start="0"/>
        <w:rPr/>
      </w:pPr>
      <w:r>
        <w:rPr/>
        <w:t>Dow Chemical Argentina</w:t>
      </w:r>
    </w:p>
    <w:p>
      <w:pPr>
        <w:pStyle w:val="Normal"/>
        <w:spacing w:before="240" w:after="0"/>
        <w:jc w:val="both"/>
        <w:rPr>
          <w:sz w:val="24"/>
        </w:rPr>
      </w:pPr>
      <w:r>
        <w:rPr>
          <w:sz w:val="24"/>
        </w:rPr>
      </w:r>
    </w:p>
    <w:p>
      <w:pPr>
        <w:pStyle w:val="Normal"/>
        <w:spacing w:before="240" w:after="0"/>
        <w:jc w:val="both"/>
        <w:rPr>
          <w:sz w:val="24"/>
        </w:rPr>
      </w:pPr>
      <w:r>
        <w:rPr>
          <w:sz w:val="24"/>
        </w:rPr>
      </w:r>
    </w:p>
    <w:p>
      <w:pPr>
        <w:pStyle w:val="Normal"/>
        <w:spacing w:before="240" w:after="0"/>
        <w:jc w:val="both"/>
        <w:rPr>
          <w:sz w:val="24"/>
        </w:rPr>
      </w:pPr>
      <w:r>
        <w:rPr>
          <w:sz w:val="24"/>
        </w:rPr>
      </w:r>
    </w:p>
    <w:p>
      <w:pPr>
        <w:pStyle w:val="Normal"/>
        <w:spacing w:before="240" w:after="0"/>
        <w:jc w:val="both"/>
        <w:rPr>
          <w:sz w:val="24"/>
        </w:rPr>
      </w:pPr>
      <w:r>
        <w:rPr>
          <w:sz w:val="24"/>
        </w:rPr>
      </w:r>
    </w:p>
    <w:p>
      <w:pPr>
        <w:pStyle w:val="Normal"/>
        <w:spacing w:before="240" w:after="0"/>
        <w:jc w:val="both"/>
        <w:rPr>
          <w:sz w:val="24"/>
        </w:rPr>
      </w:pPr>
      <w:r>
        <w:rPr>
          <w:sz w:val="24"/>
        </w:rPr>
        <w:t>This is an offer of Enron International Argentina S.A. (hereinafter “Enron”) to Dow Chemical Argentina S.A. (hereinafter “Dow”) to enter into a Joint Evaluation Agreement to jointly study the feasibility of a Bypass Facility in the Port of Bahía Blanca, Province of Buenos Aires, Argentina, as defined below:</w:t>
      </w:r>
    </w:p>
    <w:p>
      <w:pPr>
        <w:pStyle w:val="Normal"/>
        <w:jc w:val="both"/>
        <w:rPr>
          <w:sz w:val="24"/>
        </w:rPr>
      </w:pPr>
      <w:r>
        <w:rPr>
          <w:sz w:val="24"/>
        </w:rPr>
      </w:r>
    </w:p>
    <w:p>
      <w:pPr>
        <w:pStyle w:val="BodyText3"/>
        <w:rPr/>
      </w:pPr>
      <w:r>
        <w:rPr/>
        <w:t>WHEREAS:</w:t>
      </w:r>
    </w:p>
    <w:p>
      <w:pPr>
        <w:pStyle w:val="Normal"/>
        <w:jc w:val="both"/>
        <w:rPr>
          <w:b/>
          <w:sz w:val="24"/>
        </w:rPr>
      </w:pPr>
      <w:r>
        <w:rPr>
          <w:b/>
          <w:sz w:val="24"/>
        </w:rPr>
      </w:r>
    </w:p>
    <w:p>
      <w:pPr>
        <w:pStyle w:val="BodyText"/>
        <w:numPr>
          <w:ilvl w:val="0"/>
          <w:numId w:val="2"/>
        </w:numPr>
        <w:ind w:hanging="720" w:start="720" w:end="0"/>
        <w:rPr/>
      </w:pPr>
      <w:r>
        <w:rPr/>
        <w:t>Dow desires to design, construct, install, finance, develop and operate a proposed bypass pipeline facility (the “Bypass Facility”) for Polisur S.A. and Petroquímica Bahía Blanca S.A. in the port of Bahía Blanca, Provincia de Buenos Aires, Argentina (hereinafter “The Project”).</w:t>
      </w:r>
    </w:p>
    <w:p>
      <w:pPr>
        <w:pStyle w:val="BodyText"/>
        <w:ind w:end="0"/>
        <w:rPr/>
      </w:pPr>
      <w:r>
        <w:rPr/>
      </w:r>
    </w:p>
    <w:p>
      <w:pPr>
        <w:pStyle w:val="BodyText"/>
        <w:numPr>
          <w:ilvl w:val="0"/>
          <w:numId w:val="2"/>
        </w:numPr>
        <w:ind w:hanging="720" w:start="720" w:end="0"/>
        <w:rPr/>
      </w:pPr>
      <w:r>
        <w:rPr/>
        <w:t>Enron wishes to supply Dow the gas and transportation services required by Dow to provide the Polisur S.A. and Petroquímica Bahía Blanca S.A. facilities (“The Related Supply Transaction”).</w:t>
      </w:r>
    </w:p>
    <w:p>
      <w:pPr>
        <w:pStyle w:val="BodyText"/>
        <w:ind w:end="0"/>
        <w:rPr/>
      </w:pPr>
      <w:r>
        <w:rPr/>
      </w:r>
    </w:p>
    <w:p>
      <w:pPr>
        <w:pStyle w:val="BodyText"/>
        <w:numPr>
          <w:ilvl w:val="0"/>
          <w:numId w:val="2"/>
        </w:numPr>
        <w:ind w:hanging="720" w:start="720" w:end="0"/>
        <w:rPr/>
      </w:pPr>
      <w:r>
        <w:rPr/>
        <w:t>Dow acknowledges Enron’s broad experience in developing energy projects around the world and would like Enron to assist Dow in the study, evaluation and definition of the technical and economic requirements and feasibility of The Project (the “Evaluation”) as well as to undertake with Enron in the conduct of certain studies in order to analyze the feasibility of the Related Supply Transaction.</w:t>
      </w:r>
    </w:p>
    <w:p>
      <w:pPr>
        <w:pStyle w:val="BodyText"/>
        <w:ind w:end="0"/>
        <w:rPr/>
      </w:pPr>
      <w:r>
        <w:rPr/>
      </w:r>
    </w:p>
    <w:p>
      <w:pPr>
        <w:pStyle w:val="BodyText"/>
        <w:numPr>
          <w:ilvl w:val="0"/>
          <w:numId w:val="2"/>
        </w:numPr>
        <w:ind w:hanging="720" w:start="720" w:end="0"/>
        <w:rPr/>
      </w:pPr>
      <w:r>
        <w:rPr/>
        <w:t xml:space="preserve">Dow and Enron intend to enter into good faith, non-binding negotiations, under the provisions of this Joint Evaluation Agreement (“Ageement”), regarding the proposed terms and conditions of definitive agreements relating to The Project. </w:t>
      </w:r>
    </w:p>
    <w:p>
      <w:pPr>
        <w:pStyle w:val="Normal"/>
        <w:jc w:val="both"/>
        <w:rPr>
          <w:sz w:val="24"/>
        </w:rPr>
      </w:pPr>
      <w:r>
        <w:rPr>
          <w:sz w:val="24"/>
        </w:rPr>
      </w:r>
    </w:p>
    <w:p>
      <w:pPr>
        <w:pStyle w:val="Normal"/>
        <w:ind w:hanging="720" w:start="720" w:end="0"/>
        <w:jc w:val="both"/>
        <w:rPr>
          <w:sz w:val="24"/>
        </w:rPr>
      </w:pPr>
      <w:r>
        <w:rPr>
          <w:sz w:val="24"/>
        </w:rPr>
        <w:t>AGREEMENT</w:t>
      </w:r>
    </w:p>
    <w:p>
      <w:pPr>
        <w:pStyle w:val="Normal"/>
        <w:jc w:val="both"/>
        <w:rPr>
          <w:sz w:val="24"/>
        </w:rPr>
      </w:pPr>
      <w:r>
        <w:rPr>
          <w:sz w:val="24"/>
        </w:rPr>
      </w:r>
    </w:p>
    <w:p>
      <w:pPr>
        <w:pStyle w:val="Normal"/>
        <w:jc w:val="both"/>
        <w:rPr>
          <w:sz w:val="24"/>
        </w:rPr>
      </w:pPr>
      <w:r>
        <w:rPr>
          <w:sz w:val="24"/>
        </w:rPr>
        <w:t>1. The Parties shall work on an exclusive basis with each other to jointly analyze the technical and economic feasibility of The Project as well as the prospect of a Related Supply Transaction</w:t>
      </w:r>
      <w:r>
        <w:rPr/>
        <w:t>.</w:t>
      </w:r>
    </w:p>
    <w:p>
      <w:pPr>
        <w:pStyle w:val="Normal"/>
        <w:jc w:val="both"/>
        <w:rPr>
          <w:sz w:val="24"/>
        </w:rPr>
      </w:pPr>
      <w:r>
        <w:rPr>
          <w:sz w:val="24"/>
        </w:rPr>
      </w:r>
    </w:p>
    <w:p>
      <w:pPr>
        <w:pStyle w:val="BodyText3"/>
        <w:rPr/>
      </w:pPr>
      <w:r>
        <w:rPr/>
        <w:t xml:space="preserve">2. The Parties shall jointly designate a third party consultant (“Consultant”) </w:t>
      </w:r>
      <w:r>
        <w:rPr>
          <w:b/>
          <w:i/>
        </w:rPr>
        <w:t>[Description of said company]</w:t>
      </w:r>
      <w:r>
        <w:rPr/>
        <w:t xml:space="preserve"> who shall carry out the Evaluation with respect to The Project and deliver its report thereunder no later than </w:t>
      </w:r>
      <w:r>
        <w:rPr>
          <w:b/>
          <w:i/>
        </w:rPr>
        <w:t>[insert date]</w:t>
      </w:r>
      <w:r>
        <w:rPr/>
        <w:t>.</w:t>
      </w:r>
    </w:p>
    <w:p>
      <w:pPr>
        <w:pStyle w:val="BodyText3"/>
        <w:rPr/>
      </w:pPr>
      <w:r>
        <w:rPr/>
      </w:r>
    </w:p>
    <w:p>
      <w:pPr>
        <w:pStyle w:val="BodyText3"/>
        <w:rPr/>
      </w:pPr>
      <w:r>
        <w:rPr/>
        <w:t>3. For practical purposes based on its know-how and solid experience in the subject matter hereof, Enron shall execute an agreement with such Consultant, notwithstanding, the terms and conditions of the said agreement must necessarily be previously accepted in writing by Dow. Dow’s acceptance and the agreement finally executed between Enron and the Consultant shall together be considered part of this Agreement.</w:t>
      </w:r>
    </w:p>
    <w:p>
      <w:pPr>
        <w:pStyle w:val="BodyText3"/>
        <w:rPr/>
      </w:pPr>
      <w:r>
        <w:rPr/>
      </w:r>
    </w:p>
    <w:p>
      <w:pPr>
        <w:pStyle w:val="BodyText3"/>
        <w:rPr>
          <w:rFonts w:ascii="Courier New" w:hAnsi="Courier New" w:cs="Courier New"/>
          <w:spacing w:val="-3"/>
          <w:sz w:val="22"/>
        </w:rPr>
      </w:pPr>
      <w:r>
        <w:rPr/>
        <w:t xml:space="preserve">4. The Parties shall appoint specialized personnel from each of their respective firms who shall form project teams that will work together to carefully assess all the information contained in the Consultant’s report. The project teams shall meet no later than </w:t>
      </w:r>
      <w:r>
        <w:rPr>
          <w:b/>
          <w:i/>
        </w:rPr>
        <w:t>[insert date]</w:t>
      </w:r>
      <w:r>
        <w:rPr/>
        <w:t xml:space="preserve">.in order to study the information resulting from the Evaluation, and shall come to a conclusion as to whether The Project is technically and economically feasible by </w:t>
      </w:r>
      <w:r>
        <w:rPr>
          <w:b/>
          <w:i/>
        </w:rPr>
        <w:t>[insert date]</w:t>
      </w:r>
      <w:r>
        <w:rPr/>
        <w:t xml:space="preserve">at the latest. </w:t>
      </w:r>
    </w:p>
    <w:p>
      <w:pPr>
        <w:pStyle w:val="BodyText3"/>
        <w:rPr>
          <w:rFonts w:ascii="Courier New" w:hAnsi="Courier New" w:cs="Courier New"/>
          <w:spacing w:val="-3"/>
          <w:sz w:val="22"/>
        </w:rPr>
      </w:pPr>
      <w:r>
        <w:rPr>
          <w:rFonts w:cs="Courier New" w:ascii="Courier New" w:hAnsi="Courier New"/>
          <w:spacing w:val="-3"/>
          <w:sz w:val="22"/>
        </w:rPr>
      </w:r>
    </w:p>
    <w:p>
      <w:pPr>
        <w:pStyle w:val="BodyText3"/>
        <w:rPr>
          <w:rFonts w:ascii="Courier New" w:hAnsi="Courier New" w:cs="Courier New"/>
          <w:spacing w:val="-3"/>
          <w:sz w:val="22"/>
        </w:rPr>
      </w:pPr>
      <w:r>
        <w:rPr/>
        <w:t>5. All costs incurred under the Evaluation shall be deemed ‘Common Costs’ and will be shared by the Parties in equal parts as follows:</w:t>
      </w:r>
    </w:p>
    <w:p>
      <w:pPr>
        <w:pStyle w:val="Normal"/>
        <w:jc w:val="both"/>
        <w:rPr>
          <w:rFonts w:ascii="Courier New" w:hAnsi="Courier New" w:cs="Courier New"/>
          <w:spacing w:val="-3"/>
          <w:sz w:val="24"/>
        </w:rPr>
      </w:pPr>
      <w:r>
        <w:rPr>
          <w:rFonts w:cs="Courier New" w:ascii="Courier New" w:hAnsi="Courier New"/>
          <w:spacing w:val="-3"/>
          <w:sz w:val="24"/>
        </w:rPr>
      </w:r>
    </w:p>
    <w:p>
      <w:pPr>
        <w:pStyle w:val="Normal"/>
        <w:numPr>
          <w:ilvl w:val="0"/>
          <w:numId w:val="3"/>
        </w:numPr>
        <w:jc w:val="both"/>
        <w:rPr>
          <w:sz w:val="24"/>
        </w:rPr>
      </w:pPr>
      <w:r>
        <w:rPr>
          <w:spacing w:val="-3"/>
          <w:sz w:val="24"/>
        </w:rPr>
        <w:t xml:space="preserve">Enron shall make the initial disbursements related to the Evaluation carried out by the Consultant up to US$ 10,000 (Ten-thousand US Dollars). Any expense exceeding said authorized amount must be </w:t>
      </w:r>
      <w:r>
        <w:rPr>
          <w:sz w:val="24"/>
        </w:rPr>
        <w:t xml:space="preserve">previously approved by the Parties. </w:t>
      </w:r>
    </w:p>
    <w:p>
      <w:pPr>
        <w:pStyle w:val="Normal"/>
        <w:jc w:val="both"/>
        <w:rPr>
          <w:sz w:val="24"/>
        </w:rPr>
      </w:pPr>
      <w:r>
        <w:rPr>
          <w:sz w:val="24"/>
        </w:rPr>
      </w:r>
    </w:p>
    <w:p>
      <w:pPr>
        <w:pStyle w:val="BodyText3"/>
        <w:numPr>
          <w:ilvl w:val="0"/>
          <w:numId w:val="3"/>
        </w:numPr>
        <w:tabs>
          <w:tab w:val="clear" w:pos="720"/>
          <w:tab w:val="left" w:pos="-720" w:leader="none"/>
        </w:tabs>
        <w:suppressAutoHyphens w:val="true"/>
        <w:rPr>
          <w:spacing w:val="-3"/>
        </w:rPr>
      </w:pPr>
      <w:r>
        <w:rPr>
          <w:spacing w:val="-3"/>
        </w:rPr>
        <w:t xml:space="preserve">Dow will reimburse Enron all expenses incurred under point (i) above, up to a maximum amount of US$ 5,000 (Five-thousand US Dollars) plus the corresponding Argentine Value Added Tax (“VAT”) within </w:t>
      </w:r>
      <w:r>
        <w:rPr>
          <w:b/>
          <w:i/>
          <w:spacing w:val="-3"/>
        </w:rPr>
        <w:t>[establish term ]</w:t>
      </w:r>
      <w:r>
        <w:rPr>
          <w:spacing w:val="-3"/>
        </w:rPr>
        <w:t>, provided all such sums are duly accounted for by Enron. Failure to reimburse Enron within said term shall cause Dow to pay Enron an interest rate on such amounts equal to two times Baibor (Buenos Aires Interbank Offered Rate) for 180-day operations in US Dollars. All previously approved amounts in excess of said amount in accordance with subsection (i) above shall be reimbursed by DOW in the same manner.</w:t>
      </w:r>
    </w:p>
    <w:p>
      <w:pPr>
        <w:pStyle w:val="BodyText3"/>
        <w:tabs>
          <w:tab w:val="clear" w:pos="720"/>
          <w:tab w:val="left" w:pos="-720" w:leader="none"/>
        </w:tabs>
        <w:suppressAutoHyphens w:val="true"/>
        <w:rPr>
          <w:spacing w:val="-3"/>
        </w:rPr>
      </w:pPr>
      <w:r>
        <w:rPr>
          <w:spacing w:val="-3"/>
        </w:rPr>
      </w:r>
    </w:p>
    <w:p>
      <w:pPr>
        <w:pStyle w:val="BodyTextIndent"/>
        <w:numPr>
          <w:ilvl w:val="0"/>
          <w:numId w:val="3"/>
        </w:numPr>
        <w:rPr/>
      </w:pPr>
      <w:r>
        <w:rPr/>
        <w:t>In the event the Parties decide to execute a Related Supply Transaction, Enron shall waive any right it may have to collect from Dow the amounts provided for in subsection (ii) above, and shall solely bear all costs and expenses incurred under this Agreement.</w:t>
      </w:r>
    </w:p>
    <w:p>
      <w:pPr>
        <w:pStyle w:val="BodyTextIndent"/>
        <w:ind w:hanging="0" w:start="0" w:end="0"/>
        <w:rPr/>
      </w:pPr>
      <w:r>
        <w:rPr/>
      </w:r>
    </w:p>
    <w:p>
      <w:pPr>
        <w:pStyle w:val="BodyTextIndent"/>
        <w:numPr>
          <w:ilvl w:val="0"/>
          <w:numId w:val="3"/>
        </w:numPr>
        <w:rPr/>
      </w:pPr>
      <w:r>
        <w:rPr/>
        <w:t>In the event the Evaluation results show and the Parties, in harmony with Section 4, conclude that The Project is both technically and economically feasible, and Dow decides to withdraw from the same by not entering into definitive agreements with Enron to develop The Project, and/or does not execute a Related Supply Transaction agreement with Enron, Dow shall reimburse Enron for an amount equal to one hundred percent (100%) of all amounts incurred under this Agreement plus VAT.</w:t>
      </w:r>
    </w:p>
    <w:p>
      <w:pPr>
        <w:pStyle w:val="BodyTextIndent"/>
        <w:ind w:hanging="0" w:start="0" w:end="0"/>
        <w:rPr/>
      </w:pPr>
      <w:r>
        <w:rPr/>
      </w:r>
    </w:p>
    <w:p>
      <w:pPr>
        <w:pStyle w:val="Normal"/>
        <w:jc w:val="both"/>
        <w:rPr/>
      </w:pPr>
      <w:r>
        <w:rPr>
          <w:sz w:val="24"/>
        </w:rPr>
        <w:t>6. Each Party shall during the term of this Agreement, protect confidential information received from the other Party in the same manner it protects its own confidential information</w:t>
      </w:r>
      <w:r>
        <w:rPr/>
        <w:t xml:space="preserve">. </w:t>
      </w:r>
      <w:r>
        <w:rPr>
          <w:sz w:val="24"/>
        </w:rPr>
        <w:t>The Parties agree that all written information disclosed by any of the Parties (the “Disclosing Party”) to the other (the “Receiving Party”) or that is jointly developed by them during the course of the evaluation of The Project is confidential (the “Confidential Information”). Confidential Information received from the Disclosing Party or jointly developed by the Parties shall not be used by the Parties except for the purpose of undertaking the activities set out in this Agreement and no Party shall disclose such Confidential Information to any third party without the prior written consent of the other Party.</w:t>
      </w:r>
    </w:p>
    <w:p>
      <w:pPr>
        <w:pStyle w:val="Normal"/>
        <w:jc w:val="both"/>
        <w:rPr>
          <w:sz w:val="24"/>
        </w:rPr>
      </w:pPr>
      <w:r>
        <w:rPr>
          <w:sz w:val="24"/>
        </w:rPr>
      </w:r>
    </w:p>
    <w:p>
      <w:pPr>
        <w:pStyle w:val="Normal"/>
        <w:jc w:val="both"/>
        <w:rPr>
          <w:sz w:val="24"/>
        </w:rPr>
      </w:pPr>
      <w:r>
        <w:rPr>
          <w:sz w:val="24"/>
        </w:rPr>
        <w:t xml:space="preserve">The contents of this Agreement as well as all written information jointly developed by the Parties pursuant to the same is confidential and shall not be disclosed to any third party (nor shall any public announcement relating to this Agreement be made by either Party), except for such information (i) as may be or become generally available to the public, (ii) as may be required or appropriate in response to any summons, subpoena, or otherwise in connection with any litigation or to comply with any applicable law, order, regulation, ruling or accounting disclosure rule or standard, or (iii) as may be obtained from a non-confidential source that disclosed such information in a manner that does not violate its obligations to the other Party in making such disclosure, or (v) as may be furnished to that Party’s affiliates, auditors, attorneys, or advisors which are required to keep the information that is disclosed in confidence. </w:t>
      </w:r>
    </w:p>
    <w:p>
      <w:pPr>
        <w:pStyle w:val="Normal"/>
        <w:jc w:val="both"/>
        <w:rPr>
          <w:sz w:val="24"/>
        </w:rPr>
      </w:pPr>
      <w:r>
        <w:rPr>
          <w:sz w:val="24"/>
        </w:rPr>
      </w:r>
    </w:p>
    <w:p>
      <w:pPr>
        <w:pStyle w:val="BodyText2"/>
        <w:ind w:end="0"/>
        <w:rPr/>
      </w:pPr>
      <w:r>
        <w:rPr/>
        <w:t xml:space="preserve">7. This Agreement shall be effective upon execution and shall remain in effect until: a) it is replaced by an agreement comprehensive of the activities involved in the development of The Project; and/or b) a Related Supply Transaction Agreement is entered into between the Parties; or c) the Parties conclude that The Project is neither technically nor economically feasible; or c) for a </w:t>
      </w:r>
      <w:r>
        <w:rPr>
          <w:b/>
          <w:i/>
          <w:spacing w:val="-3"/>
        </w:rPr>
        <w:t xml:space="preserve">[establish term ] </w:t>
      </w:r>
      <w:r>
        <w:rPr/>
        <w:t>month term, whichever occurs first.</w:t>
      </w:r>
    </w:p>
    <w:p>
      <w:pPr>
        <w:pStyle w:val="Normal"/>
        <w:jc w:val="both"/>
        <w:rPr>
          <w:sz w:val="24"/>
        </w:rPr>
      </w:pPr>
      <w:r>
        <w:rPr>
          <w:sz w:val="24"/>
        </w:rPr>
      </w:r>
    </w:p>
    <w:p>
      <w:pPr>
        <w:pStyle w:val="BodyText3"/>
        <w:rPr/>
      </w:pPr>
      <w:r>
        <w:rPr/>
        <w:t>8 Notwithstanding the provisions set forth in Section 7 above, the Parties agree that any obligation to pay sums of money incurred by reason of the Evaluation herein, pursuant to Section 5 subsections (i) through (iv), shall survive the term of this Agreement.</w:t>
      </w:r>
    </w:p>
    <w:p>
      <w:pPr>
        <w:pStyle w:val="Normal"/>
        <w:jc w:val="both"/>
        <w:rPr>
          <w:sz w:val="24"/>
        </w:rPr>
      </w:pPr>
      <w:r>
        <w:rPr>
          <w:sz w:val="24"/>
        </w:rPr>
      </w:r>
    </w:p>
    <w:p>
      <w:pPr>
        <w:pStyle w:val="BodyText2"/>
        <w:ind w:end="0"/>
        <w:rPr/>
      </w:pPr>
      <w:r>
        <w:rPr/>
        <w:t>9. Nothing in this Agreement shall be construed as creating a partnership, agency or joint and several liability between the Parties.</w:t>
      </w:r>
    </w:p>
    <w:p>
      <w:pPr>
        <w:pStyle w:val="Normal"/>
        <w:jc w:val="both"/>
        <w:rPr>
          <w:sz w:val="24"/>
        </w:rPr>
      </w:pPr>
      <w:r>
        <w:rPr>
          <w:sz w:val="24"/>
        </w:rPr>
      </w:r>
    </w:p>
    <w:p>
      <w:pPr>
        <w:pStyle w:val="Normal"/>
        <w:jc w:val="both"/>
        <w:rPr>
          <w:sz w:val="24"/>
        </w:rPr>
      </w:pPr>
      <w:r>
        <w:rPr>
          <w:sz w:val="24"/>
        </w:rPr>
        <w:t>10 It is the Parties understanding that Stamp Tax is not applicable to this Agreement. Should any Stamp Tax be levied on this Agreement in the future it shall be borne in equal parts by the Parties hereto.</w:t>
      </w:r>
    </w:p>
    <w:p>
      <w:pPr>
        <w:pStyle w:val="Normal"/>
        <w:jc w:val="both"/>
        <w:rPr>
          <w:sz w:val="24"/>
        </w:rPr>
      </w:pPr>
      <w:r>
        <w:rPr>
          <w:sz w:val="24"/>
        </w:rPr>
      </w:r>
    </w:p>
    <w:p>
      <w:pPr>
        <w:pStyle w:val="Normal"/>
        <w:jc w:val="both"/>
        <w:rPr>
          <w:sz w:val="24"/>
        </w:rPr>
      </w:pPr>
      <w:r>
        <w:rPr>
          <w:sz w:val="24"/>
        </w:rPr>
        <w:t>11. This Agreement may not be assigned by the Parties to any third party without the non-assigning Party’s prior written consent. Such written consent shall not be required when the rights and obligations under this Agreement are to be assigned to an affiliate of either Party.</w:t>
      </w:r>
    </w:p>
    <w:p>
      <w:pPr>
        <w:pStyle w:val="Normal"/>
        <w:jc w:val="both"/>
        <w:rPr>
          <w:sz w:val="24"/>
        </w:rPr>
      </w:pPr>
      <w:r>
        <w:rPr>
          <w:sz w:val="24"/>
        </w:rPr>
      </w:r>
    </w:p>
    <w:p>
      <w:pPr>
        <w:pStyle w:val="Normal"/>
        <w:jc w:val="both"/>
        <w:rPr>
          <w:sz w:val="24"/>
        </w:rPr>
      </w:pPr>
      <w:r>
        <w:rPr>
          <w:sz w:val="24"/>
        </w:rPr>
        <w:t>12. All notices and communications between the Parties pursuant to this Agreement shall be given to the addresses set forth below:</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To Dow</w:t>
        <w:tab/>
        <w:tab/>
        <w:tab/>
        <w:t>To Enron</w:t>
      </w:r>
    </w:p>
    <w:p>
      <w:pPr>
        <w:pStyle w:val="Normal"/>
        <w:jc w:val="both"/>
        <w:rPr>
          <w:sz w:val="24"/>
        </w:rPr>
      </w:pPr>
      <w:r>
        <w:rPr>
          <w:sz w:val="24"/>
        </w:rPr>
      </w:r>
    </w:p>
    <w:p>
      <w:pPr>
        <w:pStyle w:val="Normal"/>
        <w:jc w:val="both"/>
        <w:rPr>
          <w:sz w:val="24"/>
        </w:rPr>
      </w:pPr>
      <w:r>
        <w:rPr>
          <w:sz w:val="24"/>
        </w:rPr>
      </w:r>
    </w:p>
    <w:p>
      <w:pPr>
        <w:pStyle w:val="BodyText2"/>
        <w:ind w:end="0"/>
        <w:rPr/>
      </w:pPr>
      <w:r>
        <w:rPr/>
        <w:t>13. This Agreement represents the entire Agreement between the Parties and supersedes all other previous conversations and/or agreements between the Parties.</w:t>
      </w:r>
    </w:p>
    <w:p>
      <w:pPr>
        <w:pStyle w:val="BodyText2"/>
        <w:ind w:end="0"/>
        <w:rPr/>
      </w:pPr>
      <w:r>
        <w:rPr/>
      </w:r>
    </w:p>
    <w:p>
      <w:pPr>
        <w:pStyle w:val="BodyText2"/>
        <w:ind w:end="0"/>
        <w:rPr/>
      </w:pPr>
      <w:r>
        <w:rPr/>
        <w:t>14. Neither of the Parties shall be liable for consequential, incidental, punitive, exemplary or indirect damages, lost profits or other business interruption damages, caused by gross negligence, willful misconduct or negligence of the defaulting party, which may result from liability for breach of contract, or from any other indemnity or other type of clause or provision.</w:t>
      </w:r>
    </w:p>
    <w:p>
      <w:pPr>
        <w:pStyle w:val="BodyText2"/>
        <w:ind w:end="0"/>
        <w:rPr/>
      </w:pPr>
      <w:r>
        <w:rPr/>
      </w:r>
    </w:p>
    <w:p>
      <w:pPr>
        <w:pStyle w:val="BodyText2"/>
        <w:ind w:end="0"/>
        <w:rPr/>
      </w:pPr>
      <w:r>
        <w:rPr/>
        <w:t>15 This Agreement shall be governed by and interpreted in accordance with the laws of the Argentine Republic. All disputes arising out of or in connection with this Agreement shall be finally settled under the Rules of  Arbitration of the International Chamber of Commerce (“ICC”) by one or more arbitrators appointed in accordance with the said Rules, Arbitration shall be held in the City of Buenos Aires, Argentina, and the proceeding shall de conducted in English.</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
        <w:ind w:end="0"/>
        <w:rPr/>
      </w:pPr>
      <w:r>
        <w:rPr>
          <w:i/>
        </w:rPr>
        <w:t xml:space="preserve">We request that you send us a letter, signed by a representative of your company duly authorized to such effect, acknowledging receipt of this Offer and transcribing the entire text of this letter. Such letter will only document the reception of this Offer, which you may then accept or reject.  Thereafter, if your firm does not reject the present Offer clearly by </w:t>
      </w:r>
      <w:r>
        <w:rPr>
          <w:b/>
          <w:i/>
        </w:rPr>
        <w:t>[insert date]</w:t>
      </w:r>
      <w:r>
        <w:rPr>
          <w:i/>
        </w:rPr>
        <w:t>., we will consider your silence as constituting a full, unequivocal and sufficient indication of your decision to accept the present Offer, without any other expression of intent, express or tacit, being necessary.</w:t>
      </w:r>
    </w:p>
    <w:p>
      <w:pPr>
        <w:pStyle w:val="Normal"/>
        <w:rPr>
          <w:i/>
          <w:i/>
          <w:sz w:val="24"/>
        </w:rPr>
      </w:pPr>
      <w:r>
        <w:rPr>
          <w:i/>
          <w:sz w:val="24"/>
        </w:rPr>
      </w:r>
    </w:p>
    <w:p>
      <w:pPr>
        <w:pStyle w:val="Normal"/>
        <w:rPr>
          <w:sz w:val="24"/>
        </w:rPr>
      </w:pPr>
      <w:r>
        <w:rPr>
          <w:sz w:val="24"/>
        </w:rPr>
      </w:r>
    </w:p>
    <w:p>
      <w:pPr>
        <w:pStyle w:val="Normal"/>
        <w:rPr>
          <w:sz w:val="24"/>
        </w:rPr>
      </w:pPr>
      <w:r>
        <w:rPr>
          <w:sz w:val="24"/>
        </w:rPr>
        <w:t>Yours 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__________________________________________</w:t>
      </w:r>
    </w:p>
    <w:p>
      <w:pPr>
        <w:pStyle w:val="Normal"/>
        <w:rPr>
          <w:sz w:val="24"/>
        </w:rPr>
      </w:pPr>
      <w:r>
        <w:rPr>
          <w:sz w:val="24"/>
        </w:rPr>
        <w:t>Enron International Argentina S.A.</w:t>
      </w:r>
    </w:p>
    <w:p>
      <w:pPr>
        <w:pStyle w:val="FootnoteText"/>
        <w:widowControl/>
        <w:rPr>
          <w:sz w:val="24"/>
        </w:rPr>
      </w:pPr>
      <w:r>
        <w:rPr>
          <w:sz w:val="24"/>
        </w:rPr>
      </w:r>
    </w:p>
    <w:p>
      <w:pPr>
        <w:pStyle w:val="Normal"/>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type w:val="nextPage"/>
      <w:pgSz w:w="11906" w:h="16838"/>
      <w:pgMar w:left="1701" w:right="2835"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567" w:start="567" w:end="0"/>
      <w:jc w:val="both"/>
      <w:outlineLvl w:val="0"/>
    </w:pPr>
    <w:rPr>
      <w:b/>
      <w:sz w:val="24"/>
      <w:lang w:val="en-US"/>
    </w:rPr>
  </w:style>
  <w:style w:type="paragraph" w:styleId="Heading2">
    <w:name w:val="heading 2"/>
    <w:basedOn w:val="Normal"/>
    <w:next w:val="Normal"/>
    <w:qFormat/>
    <w:pPr>
      <w:keepNext w:val="true"/>
      <w:numPr>
        <w:ilvl w:val="1"/>
        <w:numId w:val="1"/>
      </w:numPr>
      <w:jc w:val="both"/>
      <w:outlineLvl w:val="1"/>
    </w:pPr>
    <w:rPr>
      <w:b/>
      <w:sz w:val="24"/>
      <w:lang w:val="en-US"/>
    </w:rPr>
  </w:style>
  <w:style w:type="paragraph" w:styleId="Heading3">
    <w:name w:val="heading 3"/>
    <w:basedOn w:val="Normal"/>
    <w:next w:val="Normal"/>
    <w:qFormat/>
    <w:pPr>
      <w:keepNext w:val="true"/>
      <w:numPr>
        <w:ilvl w:val="2"/>
        <w:numId w:val="1"/>
      </w:numPr>
      <w:spacing w:before="240" w:after="0"/>
      <w:jc w:val="both"/>
      <w:outlineLvl w:val="2"/>
    </w:pPr>
    <w:rPr>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sz w:val="24"/>
      <w:lang w:val="en-US"/>
    </w:rPr>
  </w:style>
  <w:style w:type="paragraph" w:styleId="BodyText">
    <w:name w:val="Body Text"/>
    <w:basedOn w:val="Normal"/>
    <w:pPr>
      <w:tabs>
        <w:tab w:val="clear" w:pos="720"/>
        <w:tab w:val="left" w:pos="7371" w:leader="none"/>
      </w:tabs>
      <w:ind w:hanging="0" w:start="0" w:end="1700"/>
      <w:jc w:val="both"/>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1417"/>
      <w:jc w:val="both"/>
    </w:pPr>
    <w:rPr>
      <w:sz w:val="24"/>
      <w:lang w:val="en-US"/>
    </w:rPr>
  </w:style>
  <w:style w:type="paragraph" w:styleId="BodyText3">
    <w:name w:val="Body Text 3"/>
    <w:basedOn w:val="Normal"/>
    <w:qFormat/>
    <w:pPr>
      <w:jc w:val="both"/>
    </w:pPr>
    <w:rPr>
      <w:sz w:val="24"/>
      <w:lang w:val="en-US"/>
    </w:rPr>
  </w:style>
  <w:style w:type="paragraph" w:styleId="BodyTextIndent">
    <w:name w:val="Body Text Indent"/>
    <w:basedOn w:val="Normal"/>
    <w:pPr>
      <w:tabs>
        <w:tab w:val="clear" w:pos="720"/>
        <w:tab w:val="left" w:pos="-720" w:leader="none"/>
      </w:tabs>
      <w:suppressAutoHyphens w:val="true"/>
      <w:ind w:hanging="709" w:start="709" w:end="0"/>
      <w:jc w:val="both"/>
    </w:pPr>
    <w:rPr>
      <w:spacing w:val="-3"/>
      <w:sz w:val="24"/>
      <w:lang w:val="en-US"/>
    </w:rPr>
  </w:style>
  <w:style w:type="paragraph" w:styleId="FootnoteText">
    <w:name w:val="footnote text"/>
    <w:basedOn w:val="Normal"/>
    <w:pPr>
      <w:widowControl w:val="false"/>
    </w:pPr>
    <w:rPr>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1998-11-26T17:11:00Z</dcterms:created>
  <dc:creator>SISTEMAS</dc:creator>
  <dc:description/>
  <dc:language>en-CA</dc:language>
  <cp:lastModifiedBy>EI</cp:lastModifiedBy>
  <cp:lastPrinted>1998-11-26T16:58:00Z</cp:lastPrinted>
  <dcterms:modified xsi:type="dcterms:W3CDTF">1998-11-26T17:28:00Z</dcterms:modified>
  <cp:revision>4</cp:revision>
  <dc:subject/>
  <dc:title>Entered into on        between Compañía General de Combustibles S.A. (CGC) and  Promigas S.A. (PROMIGAS). In this MOU compañía General de Combustibles S.A. and Promigas S.A. may be individually referred to as a ‘Party’ and collectively referred to as ‘Par</dc:title>
</cp:coreProperties>
</file>