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bookmarkStart w:id="0" w:name="_1038205347"/>
      <w:bookmarkEnd w:id="0"/>
      <w:r>
        <w:rPr>
          <w:sz w:val="20"/>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8.05pt;height:77.3pt" filled="f" o:ole="">
            <v:imagedata r:id="rId3" o:title=""/>
          </v:shape>
          <o:OLEObject Type="Embed" ProgID="" ShapeID="ole_rId2" DrawAspect="Content" ObjectID="_2133006938" r:id="rId2"/>
        </w:object>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00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widowControl/>
              <w:rPr>
                <w:rFonts w:ascii="Times New Roman" w:hAnsi="Times New Roman" w:cs="Times New Roman"/>
              </w:rPr>
            </w:pPr>
            <w:r>
              <w:rPr>
                <w:rFonts w:cs="Times New Roman" w:ascii="Times New Roman" w:hAnsi="Times New Roman"/>
              </w:rPr>
              <w:t>Rick Causey</w:t>
            </w:r>
          </w:p>
          <w:p>
            <w:pPr>
              <w:pStyle w:val="To"/>
              <w:widowControl/>
              <w:rPr>
                <w:rFonts w:ascii="Times New Roman" w:hAnsi="Times New Roman" w:cs="Times New Roman"/>
              </w:rPr>
            </w:pPr>
            <w:r>
              <w:rPr>
                <w:rFonts w:cs="Times New Roman" w:ascii="Times New Roman" w:hAnsi="Times New Roman"/>
              </w:rPr>
              <w:t>Rick Buy</w:t>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90"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37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From:</w:t>
            </w:r>
          </w:p>
        </w:tc>
        <w:tc>
          <w:tcPr>
            <w:tcW w:w="6045" w:type="dxa"/>
            <w:tcBorders/>
          </w:tcPr>
          <w:p>
            <w:pPr>
              <w:pStyle w:val="From"/>
              <w:widowControl/>
              <w:rPr>
                <w:rFonts w:ascii="Times New Roman" w:hAnsi="Times New Roman" w:cs="Times New Roman"/>
              </w:rPr>
            </w:pPr>
            <w:r>
              <w:rPr>
                <w:rFonts w:cs="Times New Roman" w:ascii="Times New Roman" w:hAnsi="Times New Roman"/>
              </w:rPr>
              <w:t>Ted Murphy, Sally Beck</w:t>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1" w:name="From"/>
            <w:bookmarkEnd w:id="1"/>
            <w:r>
              <w:rPr>
                <w:rFonts w:cs="Times New Roman" w:ascii="Times New Roman" w:hAnsi="Times New Roman"/>
              </w:rPr>
              <w:t>RAC/Risk Operations</w:t>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Strategy of Doorstep Visits</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widowControl/>
        <w:rPr>
          <w:rFonts w:ascii="Times New Roman" w:hAnsi="Times New Roman" w:cs="Times New Roman"/>
        </w:rPr>
      </w:pPr>
      <w:r>
        <w:rPr>
          <w:rFonts w:cs="Times New Roman" w:ascii="Times New Roman" w:hAnsi="Times New Roman"/>
        </w:rPr>
      </w:r>
      <w:bookmarkStart w:id="2" w:name="StartOfMemo"/>
      <w:bookmarkStart w:id="3" w:name="StartOfMemo"/>
      <w:bookmarkEnd w:id="3"/>
    </w:p>
    <w:p>
      <w:pPr>
        <w:pStyle w:val="Body"/>
        <w:widowControl/>
        <w:rPr>
          <w:rFonts w:ascii="Times New Roman" w:hAnsi="Times New Roman" w:cs="Times New Roman"/>
        </w:rPr>
      </w:pPr>
      <w:r>
        <w:rPr>
          <w:rFonts w:cs="Times New Roman" w:ascii="Times New Roman" w:hAnsi="Times New Roman"/>
        </w:rPr>
        <w:t xml:space="preserve">The purpose of this memo is to document the strategies of office visitations.  Offices have been categorized into the following five categories. </w:t>
      </w:r>
    </w:p>
    <w:p>
      <w:pPr>
        <w:pStyle w:val="Body"/>
        <w:widowControl/>
        <w:rPr>
          <w:rFonts w:ascii="Times New Roman" w:hAnsi="Times New Roman" w:cs="Times New Roman"/>
        </w:rPr>
      </w:pPr>
      <w:r>
        <w:rPr>
          <w:rFonts w:cs="Times New Roman" w:ascii="Times New Roman" w:hAnsi="Times New Roman"/>
        </w:rPr>
      </w:r>
    </w:p>
    <w:p>
      <w:pPr>
        <w:pStyle w:val="Body"/>
        <w:widowControl/>
        <w:numPr>
          <w:ilvl w:val="0"/>
          <w:numId w:val="2"/>
        </w:numPr>
        <w:rPr>
          <w:rFonts w:ascii="Times New Roman" w:hAnsi="Times New Roman" w:cs="Times New Roman"/>
        </w:rPr>
      </w:pPr>
      <w:r>
        <w:rPr>
          <w:rFonts w:cs="Times New Roman" w:ascii="Times New Roman" w:hAnsi="Times New Roman"/>
        </w:rPr>
        <w:t>High risk</w:t>
      </w:r>
    </w:p>
    <w:p>
      <w:pPr>
        <w:pStyle w:val="Body"/>
        <w:widowControl/>
        <w:numPr>
          <w:ilvl w:val="0"/>
          <w:numId w:val="2"/>
        </w:numPr>
        <w:rPr>
          <w:rFonts w:ascii="Times New Roman" w:hAnsi="Times New Roman" w:cs="Times New Roman"/>
        </w:rPr>
      </w:pPr>
      <w:r>
        <w:rPr>
          <w:rFonts w:cs="Times New Roman" w:ascii="Times New Roman" w:hAnsi="Times New Roman"/>
        </w:rPr>
        <w:t>Trading Large</w:t>
      </w:r>
    </w:p>
    <w:p>
      <w:pPr>
        <w:pStyle w:val="Body"/>
        <w:widowControl/>
        <w:numPr>
          <w:ilvl w:val="0"/>
          <w:numId w:val="2"/>
        </w:numPr>
        <w:rPr>
          <w:rFonts w:ascii="Times New Roman" w:hAnsi="Times New Roman" w:cs="Times New Roman"/>
        </w:rPr>
      </w:pPr>
      <w:r>
        <w:rPr>
          <w:rFonts w:cs="Times New Roman" w:ascii="Times New Roman" w:hAnsi="Times New Roman"/>
        </w:rPr>
        <w:t>Trading Medium</w:t>
      </w:r>
    </w:p>
    <w:p>
      <w:pPr>
        <w:pStyle w:val="Body"/>
        <w:widowControl/>
        <w:numPr>
          <w:ilvl w:val="0"/>
          <w:numId w:val="2"/>
        </w:numPr>
        <w:rPr>
          <w:rFonts w:ascii="Times New Roman" w:hAnsi="Times New Roman" w:cs="Times New Roman"/>
        </w:rPr>
      </w:pPr>
      <w:r>
        <w:rPr>
          <w:rFonts w:cs="Times New Roman" w:ascii="Times New Roman" w:hAnsi="Times New Roman"/>
        </w:rPr>
        <w:t>Origination</w:t>
      </w:r>
    </w:p>
    <w:p>
      <w:pPr>
        <w:pStyle w:val="Body"/>
        <w:widowControl/>
        <w:numPr>
          <w:ilvl w:val="0"/>
          <w:numId w:val="2"/>
        </w:numPr>
        <w:rPr>
          <w:rFonts w:ascii="Times New Roman" w:hAnsi="Times New Roman" w:cs="Times New Roman"/>
        </w:rPr>
      </w:pPr>
      <w:r>
        <w:rPr>
          <w:rFonts w:cs="Times New Roman" w:ascii="Times New Roman" w:hAnsi="Times New Roman"/>
        </w:rPr>
        <w:t>Other</w:t>
      </w:r>
    </w:p>
    <w:p>
      <w:pPr>
        <w:pStyle w:val="Body"/>
        <w:widowControl/>
        <w:numPr>
          <w:ilvl w:val="0"/>
          <w:numId w:val="2"/>
        </w:numPr>
        <w:rPr>
          <w:rFonts w:ascii="Times New Roman" w:hAnsi="Times New Roman" w:cs="Times New Roman"/>
        </w:rPr>
      </w:pPr>
      <w:r>
        <w:rPr>
          <w:rFonts w:cs="Times New Roman" w:ascii="Times New Roman" w:hAnsi="Times New Roman"/>
        </w:rPr>
        <w:t>No testing needed</w:t>
      </w:r>
    </w:p>
    <w:p>
      <w:pPr>
        <w:pStyle w:val="Body"/>
        <w:widowControl/>
        <w:rPr>
          <w:rFonts w:ascii="Times New Roman" w:hAnsi="Times New Roman" w:cs="Times New Roman"/>
        </w:rPr>
      </w:pPr>
      <w:r>
        <w:rPr>
          <w:rFonts w:cs="Times New Roman" w:ascii="Times New Roman" w:hAnsi="Times New Roman"/>
        </w:rPr>
      </w:r>
    </w:p>
    <w:p>
      <w:pPr>
        <w:pStyle w:val="Body"/>
        <w:widowControl/>
        <w:rPr>
          <w:rFonts w:ascii="Times New Roman" w:hAnsi="Times New Roman" w:cs="Times New Roman"/>
        </w:rPr>
      </w:pPr>
      <w:r>
        <w:rPr>
          <w:rFonts w:cs="Times New Roman" w:ascii="Times New Roman" w:hAnsi="Times New Roman"/>
        </w:rPr>
        <w:t>The definitions are as follows and the offices are listed on the attached Appendix:</w:t>
      </w:r>
    </w:p>
    <w:p>
      <w:pPr>
        <w:pStyle w:val="Body"/>
        <w:widowControl/>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High risk</w:t>
      </w:r>
      <w:r>
        <w:rPr>
          <w:rFonts w:cs="Times New Roman" w:ascii="Times New Roman" w:hAnsi="Times New Roman"/>
        </w:rPr>
        <w:t xml:space="preserve"> – An office fitting into this category is one that does not have the standard Enron policies and procedures in place.  This may be because they have been recently purchased and are in the process of adopting the standard policies, or offices that have not met standard policies and procedures during past reviews.  The visit of these offices will be frequent, although the frequency depends on how “high risk” the office is deemed to be.</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Trading Large</w:t>
      </w:r>
      <w:r>
        <w:rPr>
          <w:rFonts w:cs="Times New Roman" w:ascii="Times New Roman" w:hAnsi="Times New Roman"/>
        </w:rPr>
        <w:t xml:space="preserve"> – an office falling into this category is one such as Houston or London, where multiple commodities and divisions exist.  These offices will be visited on an as needed basis, at least yearly.</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Trading Medium</w:t>
      </w:r>
      <w:r>
        <w:rPr>
          <w:rFonts w:cs="Times New Roman" w:ascii="Times New Roman" w:hAnsi="Times New Roman"/>
        </w:rPr>
        <w:t xml:space="preserve"> – an office falling into this category is one such as Portland (West Power), where it services one primary product.  Additionally, several middle or back office functions are performed by another office.  Because of the close contact these offices have with the central office (Houston or London) there is a level of comfort that there are adequate controls and processes in place.  These offices will be visited on an as needed basis, at least yearly</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 xml:space="preserve">Origination </w:t>
      </w:r>
      <w:r>
        <w:rPr>
          <w:rFonts w:cs="Times New Roman" w:ascii="Times New Roman" w:hAnsi="Times New Roman"/>
        </w:rPr>
        <w:t>– an office falling into this category is one such as Portland EBS where there are people working on structuring contracts, who work with trading teams in other offices but who cannot commit Enron to positions.  These offices are especially important to visit, to ensure our understanding of what takes place in these offices does meet the definition of origination.  These offices will be visited on an as needed basis, at least yearly.</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 xml:space="preserve">Other </w:t>
      </w:r>
      <w:r>
        <w:rPr>
          <w:rFonts w:cs="Times New Roman" w:ascii="Times New Roman" w:hAnsi="Times New Roman"/>
        </w:rPr>
        <w:t>– An office fitting into the other category are locations that do not have a critical mass and do not trade.  However, they do have some sort of a commercial function and we believe these offices should be visited to ensure we understand the scope of their activities.</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No testing needed</w:t>
      </w:r>
      <w:r>
        <w:rPr>
          <w:rFonts w:cs="Times New Roman" w:ascii="Times New Roman" w:hAnsi="Times New Roman"/>
        </w:rPr>
        <w:t xml:space="preserve"> – these cities in which there are plants, factories or only a representative exists.</w:t>
      </w:r>
    </w:p>
    <w:p>
      <w:pPr>
        <w:pStyle w:val="Body"/>
        <w:widowControl/>
        <w:ind w:start="0" w:end="0"/>
        <w:rPr>
          <w:rFonts w:ascii="Times New Roman" w:hAnsi="Times New Roman" w:cs="Times New Roman"/>
        </w:rPr>
      </w:pPr>
      <w:r>
        <w:rPr>
          <w:rFonts w:cs="Times New Roman" w:ascii="Times New Roman" w:hAnsi="Times New Roman"/>
        </w:rPr>
        <w:tab/>
      </w:r>
    </w:p>
    <w:p>
      <w:pPr>
        <w:pStyle w:val="Body"/>
        <w:widowControl/>
        <w:ind w:start="720" w:end="0"/>
        <w:rPr>
          <w:rFonts w:ascii="Times New Roman" w:hAnsi="Times New Roman" w:cs="Times New Roman"/>
        </w:rPr>
      </w:pPr>
      <w:r>
        <w:rPr>
          <w:rFonts w:cs="Times New Roman" w:ascii="Times New Roman" w:hAnsi="Times New Roman"/>
        </w:rPr>
      </w:r>
      <w:r>
        <w:br w:type="page"/>
      </w:r>
    </w:p>
    <w:p>
      <w:pPr>
        <w:pStyle w:val="Body"/>
        <w:widowControl/>
        <w:ind w:start="720" w:end="0"/>
        <w:jc w:val="center"/>
        <w:rPr>
          <w:rFonts w:ascii="Times New Roman" w:hAnsi="Times New Roman" w:cs="Times New Roman"/>
          <w:b/>
          <w:sz w:val="28"/>
        </w:rPr>
      </w:pPr>
      <w:r>
        <w:rPr>
          <w:rFonts w:cs="Times New Roman" w:ascii="Times New Roman" w:hAnsi="Times New Roman"/>
          <w:b/>
          <w:sz w:val="28"/>
        </w:rPr>
        <w:t>Appendix</w:t>
      </w:r>
    </w:p>
    <w:p>
      <w:pPr>
        <w:pStyle w:val="Body"/>
        <w:widowControl/>
        <w:ind w:start="720" w:end="0"/>
        <w:jc w:val="center"/>
        <w:rPr>
          <w:rFonts w:ascii="Times New Roman" w:hAnsi="Times New Roman" w:cs="Times New Roman"/>
          <w:b/>
          <w:sz w:val="24"/>
        </w:rPr>
      </w:pPr>
      <w:r>
        <w:rPr>
          <w:rFonts w:cs="Times New Roman" w:ascii="Times New Roman" w:hAnsi="Times New Roman"/>
          <w:b/>
          <w:sz w:val="24"/>
        </w:rPr>
      </w:r>
    </w:p>
    <w:p>
      <w:pPr>
        <w:pStyle w:val="Body"/>
        <w:widowControl/>
        <w:ind w:start="720" w:end="0"/>
        <w:rPr>
          <w:rFonts w:ascii="Times New Roman" w:hAnsi="Times New Roman" w:cs="Times New Roman"/>
          <w:b/>
          <w:sz w:val="24"/>
        </w:rPr>
      </w:pPr>
      <w:r>
        <w:rPr>
          <w:rFonts w:cs="Times New Roman" w:ascii="Times New Roman" w:hAnsi="Times New Roman"/>
          <w:b/>
          <w:sz w:val="24"/>
        </w:rPr>
        <w:t>High Risk</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Panama City</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St. Louis Metals</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Chicago Metals</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Hamburg</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Montreal Metals</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b/>
          <w:sz w:val="24"/>
        </w:rPr>
      </w:pPr>
      <w:r>
        <w:rPr>
          <w:rFonts w:cs="Times New Roman" w:ascii="Times New Roman" w:hAnsi="Times New Roman"/>
          <w:b/>
          <w:sz w:val="24"/>
        </w:rPr>
        <w:t>Trading Large</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Houston</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Calgary</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 xml:space="preserve">London </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New York Metals</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Sydney</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b/>
          <w:sz w:val="24"/>
        </w:rPr>
      </w:pPr>
      <w:r>
        <w:rPr>
          <w:rFonts w:cs="Times New Roman" w:ascii="Times New Roman" w:hAnsi="Times New Roman"/>
          <w:b/>
          <w:sz w:val="24"/>
        </w:rPr>
        <w:t>Trading Medium</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Portland (West Power)</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Sao Paulo</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Buenos Aries</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Singapore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Oslo</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Frankfurt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Tokyo</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SK Enron JV Subsidiary (Seoul)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Chicago (EA and Enovate)</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b/>
          <w:sz w:val="24"/>
        </w:rPr>
      </w:pPr>
      <w:r>
        <w:rPr>
          <w:rFonts w:cs="Times New Roman" w:ascii="Times New Roman" w:hAnsi="Times New Roman"/>
          <w:b/>
          <w:sz w:val="24"/>
        </w:rPr>
        <w:t>Origination</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Portland (EBS)</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India</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Toronto</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Monterrey</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Mexico City</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 xml:space="preserve">New York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Denver</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San Francisco</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Helsinki</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b/>
          <w:sz w:val="24"/>
        </w:rPr>
      </w:pPr>
      <w:r>
        <w:rPr>
          <w:rFonts w:cs="Times New Roman" w:ascii="Times New Roman" w:hAnsi="Times New Roman"/>
          <w:b/>
          <w:sz w:val="24"/>
        </w:rPr>
        <w:t>Other</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Stockholm</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Bucharest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Rio de Janeiro</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Santiago</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Lima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Moscow</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Bogota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Cologne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Rome</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Bibao (Spain)</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Madrid</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Barcelona</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Sofia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Beijing</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Shanghai</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Johannesburg</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Hong Kong</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Jakarta</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Taipei</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Ho Chi Minh City</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Manila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b/>
          <w:sz w:val="24"/>
        </w:rPr>
      </w:pPr>
      <w:r>
        <w:rPr>
          <w:rFonts w:cs="Times New Roman" w:ascii="Times New Roman" w:hAnsi="Times New Roman"/>
          <w:b/>
          <w:sz w:val="24"/>
        </w:rPr>
        <w:t>No Testing Needed</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Lugano</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Take Wind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Zurich</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Cremona</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Sardinia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Warsaw</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Croatia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Greece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Teeside</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Wilton</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Chester</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Oxford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Torpey</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Milan</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Brussels</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Nowa Saryna</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Trakya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Amsterdam</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Budapest</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pPr>
      <w:r>
        <w:rPr/>
      </w:r>
    </w:p>
    <w:sectPr>
      <w:headerReference w:type="default" r:id="rId4"/>
      <w:headerReference w:type="first" r:id="rId5"/>
      <w:footerReference w:type="default" r:id="rId6"/>
      <w:footerReference w:type="first" r:id="rId7"/>
      <w:type w:val="nextPage"/>
      <w:pgSz w:w="12240" w:h="15840"/>
      <w:pgMar w:left="806" w:right="720" w:gutter="0" w:header="720" w:top="776" w:footer="360" w:bottom="41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ind w:end="360"/>
      <w:jc w:val="center"/>
      <w:rPr>
        <w:b/>
        <w:sz w:val="16"/>
      </w:rPr>
    </w:pPr>
    <w:r>
      <w:rPr>
        <w:b/>
        <w:sz w:val="16"/>
      </w:rPr>
      <w:t>Your Personal Best Makes Enron Best</w:t>
      <w:tab/>
      <w:t>Communicate- Facts Are Friendly</w:t>
      <w:tab/>
      <w:tab/>
      <w:t>Better, Faster, Simpler</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85090"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52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70485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color w:val="000000"/>
      <w:sz w:val="18"/>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7z0">
    <w:name w:val="WW8Num17z0"/>
    <w:qFormat/>
    <w:rPr>
      <w:rFonts w:ascii="Wingdings" w:hAnsi="Wingdings" w:cs="Wingdings"/>
      <w:sz w:val="16"/>
    </w:rPr>
  </w:style>
  <w:style w:type="character" w:styleId="WW8Num18z0">
    <w:name w:val="WW8Num18z0"/>
    <w:qFormat/>
    <w:rPr/>
  </w:style>
  <w:style w:type="character" w:styleId="WW8Num19z0">
    <w:name w:val="WW8Num19z0"/>
    <w:qFormat/>
    <w:rPr>
      <w:rFonts w:ascii="Wingdings" w:hAnsi="Wingdings" w:cs="Wingdings"/>
      <w:sz w:val="16"/>
    </w:rPr>
  </w:style>
  <w:style w:type="character" w:styleId="WW8Num20z0">
    <w:name w:val="WW8Num20z0"/>
    <w:qFormat/>
    <w:rPr/>
  </w:style>
  <w:style w:type="character" w:styleId="WW8Num22z0">
    <w:name w:val="WW8Num22z0"/>
    <w:qFormat/>
    <w:rPr>
      <w:b/>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sz w:val="16"/>
    </w:rPr>
  </w:style>
  <w:style w:type="character" w:styleId="WW8Num31z0">
    <w:name w:val="WW8Num31z0"/>
    <w:qFormat/>
    <w:rPr>
      <w:rFonts w:ascii="Wingdings" w:hAnsi="Wingdings" w:cs="Wingdings"/>
      <w:sz w:val="16"/>
    </w:rPr>
  </w:style>
  <w:style w:type="character" w:styleId="WW8Num34z0">
    <w:name w:val="WW8Num34z0"/>
    <w:qFormat/>
    <w:rPr/>
  </w:style>
  <w:style w:type="character" w:styleId="WW8Num35z0">
    <w:name w:val="WW8Num35z0"/>
    <w:qFormat/>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sz w:val="16"/>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2000-12-11T22:19:00Z</dcterms:created>
  <dc:creator>appinst</dc:creator>
  <dc:description/>
  <dc:language>en-CA</dc:language>
  <cp:lastModifiedBy>vvaldez</cp:lastModifiedBy>
  <cp:lastPrinted>2000-12-14T10:04:00Z</cp:lastPrinted>
  <dcterms:modified xsi:type="dcterms:W3CDTF">2000-12-14T14:29:00Z</dcterms:modified>
  <cp:revision>18</cp:revision>
  <dc:subject/>
  <dc:title>Eron Capital &amp; Trade Resources Memo</dc:title>
</cp:coreProperties>
</file>