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22"/>
          <w:u w:val="single"/>
        </w:rPr>
      </w:pPr>
      <w:r>
        <w:rPr>
          <w:rFonts w:cs="Times New Roman" w:ascii="Times New Roman" w:hAnsi="Times New Roman"/>
          <w:b/>
          <w:sz w:val="22"/>
          <w:u w:val="single"/>
        </w:rPr>
        <w:t>DRAFT OF 10/03/00</w:t>
      </w:r>
    </w:p>
    <w:p>
      <w:pPr>
        <w:pStyle w:val="Normal"/>
        <w:jc w:val="end"/>
        <w:rPr>
          <w:rFonts w:ascii="Times New Roman" w:hAnsi="Times New Roman" w:cs="Times New Roman"/>
          <w:b/>
          <w:sz w:val="22"/>
          <w:u w:val="single"/>
        </w:rPr>
      </w:pPr>
      <w:r>
        <w:rPr>
          <w:rFonts w:cs="Times New Roman" w:ascii="Times New Roman" w:hAnsi="Times New Roman"/>
          <w:b/>
          <w:sz w:val="22"/>
          <w:u w:val="single"/>
        </w:rPr>
      </w:r>
    </w:p>
    <w:p>
      <w:pPr>
        <w:pStyle w:val="Normal"/>
        <w:spacing w:before="0" w:after="120"/>
        <w:jc w:val="center"/>
        <w:rPr>
          <w:rFonts w:ascii="Times New Roman" w:hAnsi="Times New Roman" w:cs="Times New Roman"/>
          <w:b/>
          <w:sz w:val="22"/>
        </w:rPr>
      </w:pPr>
      <w:r>
        <w:rPr>
          <w:rFonts w:cs="Times New Roman" w:ascii="Times New Roman" w:hAnsi="Times New Roman"/>
          <w:b/>
          <w:sz w:val="22"/>
        </w:rPr>
        <w:t>SCHEDULE</w:t>
        <w:br/>
        <w:t>to the</w:t>
        <w:br/>
        <w:t>MASTER AGREEMENT</w:t>
        <w:br/>
        <w:t>(Multicurrency-Cross Border)</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dated as of _________________, 2000</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between</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RISK MANAGEMENT &amp; TRADING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_____________________________________, a _____________ organized under the law of the ____________ of ________ (“Party B”)</w:t>
            </w:r>
          </w:p>
        </w:tc>
      </w:tr>
    </w:tbl>
    <w:p>
      <w:pPr>
        <w:pStyle w:val="Normal"/>
        <w:spacing w:before="480" w:after="0"/>
        <w:jc w:val="both"/>
        <w:rPr/>
      </w:pPr>
      <w:r>
        <w:rPr>
          <w:rFonts w:cs="Times New Roman" w:ascii="Times New Roman" w:hAnsi="Times New Roman"/>
          <w:b/>
          <w:sz w:val="22"/>
        </w:rPr>
        <w:t>Part 1.</w:t>
      </w:r>
      <w:r>
        <w:rPr>
          <w:rFonts w:cs="Times New Roman" w:ascii="Times New Roman" w:hAnsi="Times New Roman"/>
          <w:sz w:val="22"/>
        </w:rPr>
        <w:t xml:space="preserve"> </w:t>
      </w:r>
      <w:r>
        <w:rPr>
          <w:rFonts w:cs="Times New Roman" w:ascii="Times New Roman" w:hAnsi="Times New Roman"/>
          <w:b/>
          <w:sz w:val="22"/>
        </w:rPr>
        <w:t>Termination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none; and in relation to Party B, none.</w:t>
      </w:r>
    </w:p>
    <w:p>
      <w:pPr>
        <w:pStyle w:val="Normal"/>
        <w:spacing w:lineRule="exact" w:line="240" w:before="240" w:after="0"/>
        <w:ind w:firstLine="720" w:end="0"/>
        <w:jc w:val="both"/>
        <w:rPr/>
      </w:pPr>
      <w:r>
        <w:rPr>
          <w:rFonts w:cs="Times New Roman" w:ascii="Times New Roman" w:hAnsi="Times New Roman"/>
          <w:sz w:val="22"/>
        </w:rPr>
        <w:t>(b)</w:t>
        <w:tab/>
        <w:t>The “</w:t>
      </w:r>
      <w:r>
        <w:rPr>
          <w:rFonts w:cs="Times New Roman" w:ascii="Times New Roman" w:hAnsi="Times New Roman"/>
          <w:b/>
          <w:sz w:val="22"/>
        </w:rPr>
        <w:t>Cross Default”</w:t>
      </w:r>
      <w:r>
        <w:rPr>
          <w:rFonts w:cs="Times New Roman" w:ascii="Times New Roman" w:hAnsi="Times New Roman"/>
          <w:sz w:val="22"/>
        </w:rPr>
        <w:t xml:space="preserve"> provisions of Section 5(a)(vi) will not apply to Party A or to Party B.</w:t>
      </w:r>
    </w:p>
    <w:p>
      <w:pPr>
        <w:pStyle w:val="Normal"/>
        <w:spacing w:lineRule="exact" w:line="240" w:before="240" w:after="0"/>
        <w:ind w:firstLine="720" w:end="0"/>
        <w:jc w:val="both"/>
        <w:rPr/>
      </w:pPr>
      <w:r>
        <w:rPr>
          <w:rFonts w:cs="Times New Roman" w:ascii="Times New Roman" w:hAnsi="Times New Roman"/>
          <w:sz w:val="22"/>
        </w:rPr>
        <w:t>(c)</w:t>
        <w:tab/>
        <w:t xml:space="preserve">The </w:t>
      </w:r>
      <w:r>
        <w:rPr>
          <w:rFonts w:cs="Times New Roman" w:ascii="Times New Roman" w:hAnsi="Times New Roman"/>
          <w:b/>
          <w:sz w:val="22"/>
        </w:rPr>
        <w:t>“Credit Event Upon Merger”</w:t>
      </w:r>
      <w:r>
        <w:rPr>
          <w:rFonts w:cs="Times New Roman" w:ascii="Times New Roman" w:hAnsi="Times New Roman"/>
          <w:sz w:val="22"/>
        </w:rPr>
        <w:t xml:space="preserve"> provisions of Section 5(b)(iv) will apply to Party A and to Party B.</w:t>
      </w:r>
    </w:p>
    <w:p>
      <w:pPr>
        <w:pStyle w:val="Normal"/>
        <w:spacing w:lineRule="exact" w:line="240" w:before="240" w:after="0"/>
        <w:ind w:firstLine="720" w:end="0"/>
        <w:jc w:val="both"/>
        <w:rPr/>
      </w:pPr>
      <w:r>
        <w:rPr>
          <w:rFonts w:cs="Times New Roman" w:ascii="Times New Roman" w:hAnsi="Times New Roman"/>
          <w:sz w:val="22"/>
        </w:rPr>
        <w:t>(d)</w:t>
        <w:tab/>
        <w:t xml:space="preserve">The </w:t>
      </w:r>
      <w:r>
        <w:rPr>
          <w:rFonts w:cs="Times New Roman" w:ascii="Times New Roman" w:hAnsi="Times New Roman"/>
          <w:b/>
          <w:sz w:val="22"/>
        </w:rPr>
        <w:t>“Automatic Early Termination”</w:t>
      </w:r>
      <w:r>
        <w:rPr>
          <w:rFonts w:cs="Times New Roman" w:ascii="Times New Roman" w:hAnsi="Times New Roman"/>
          <w:sz w:val="22"/>
        </w:rPr>
        <w:t xml:space="preserve"> provision of Section 6(a) will not apply to Party A or to Party B.</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Payments on Early Termination.</w:t>
      </w:r>
      <w:r>
        <w:rPr>
          <w:rFonts w:cs="Times New Roman" w:ascii="Times New Roman" w:hAnsi="Times New Roman"/>
          <w:sz w:val="22"/>
        </w:rPr>
        <w:t xml:space="preserve">  For the purpose of Section 6(e):  (i) Loss will apply, and (ii) the Second Method will apply.</w:t>
      </w:r>
    </w:p>
    <w:p>
      <w:pPr>
        <w:pStyle w:val="Normal"/>
        <w:numPr>
          <w:ilvl w:val="0"/>
          <w:numId w:val="2"/>
        </w:numPr>
        <w:spacing w:lineRule="exact" w:line="240" w:before="240" w:after="0"/>
        <w:ind w:hanging="0" w:start="72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Termination Currency”</w:t>
      </w:r>
      <w:r>
        <w:rPr>
          <w:rFonts w:cs="Times New Roman" w:ascii="Times New Roman" w:hAnsi="Times New Roman"/>
          <w:sz w:val="22"/>
        </w:rPr>
        <w:t xml:space="preserve"> means United States Dollars.</w:t>
      </w:r>
    </w:p>
    <w:p>
      <w:pPr>
        <w:pStyle w:val="Normal"/>
        <w:spacing w:lineRule="exact" w:line="240" w:before="240" w:after="0"/>
        <w:ind w:firstLine="720" w:end="0"/>
        <w:jc w:val="both"/>
        <w:rPr/>
      </w:pPr>
      <w:r>
        <w:rPr>
          <w:rFonts w:cs="Times New Roman" w:ascii="Times New Roman" w:hAnsi="Times New Roman"/>
          <w:sz w:val="22"/>
        </w:rPr>
        <w:t>(g)</w:t>
      </w:r>
      <w:r>
        <w:rPr>
          <w:rFonts w:cs="Times New Roman" w:ascii="Times New Roman" w:hAnsi="Times New Roman"/>
          <w:b/>
          <w:sz w:val="22"/>
        </w:rPr>
        <w:tab/>
        <w:t>Additional Event of Default.</w:t>
      </w:r>
      <w:r>
        <w:rPr>
          <w:rFonts w:cs="Times New Roman" w:ascii="Times New Roman" w:hAnsi="Times New Roman"/>
          <w:sz w:val="22"/>
        </w:rPr>
        <w:t xml:space="preserve">  The following will constitute an additional Event of Default for purposes of Section 5(a):</w:t>
      </w:r>
    </w:p>
    <w:p>
      <w:pPr>
        <w:pStyle w:val="Normal"/>
        <w:spacing w:lineRule="atLeas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0"/>
        <w:jc w:val="both"/>
        <w:rPr>
          <w:rFonts w:ascii="Times New Roman" w:hAnsi="Times New Roman" w:cs="Times New Roman"/>
          <w:sz w:val="22"/>
        </w:rPr>
      </w:pPr>
      <w:r>
        <w:rPr>
          <w:rFonts w:cs="Times New Roman" w:ascii="Times New Roman" w:hAnsi="Times New Roman"/>
          <w:sz w:val="22"/>
        </w:rPr>
        <w:t>(ix)</w:t>
        <w:tab/>
        <w:t>(i) in the case of Party A, if Enron Corp. ceases to own, directly or indirectly, one hundred percent (100%) of the outstanding capital stock or other equity interests of Party A having ordinary voting power; or (ii) in the case of Party B, if Enron Corp. ceases to own directly or indirectly, one hundred percent (100%) or more of the outstanding capital stock or other equity interests of Party B having ordinary voting power.</w:t>
      </w:r>
    </w:p>
    <w:p>
      <w:pPr>
        <w:pStyle w:val="Normal"/>
        <w:keepNext w:val="true"/>
        <w:spacing w:lineRule="exact" w:line="240" w:before="480" w:after="0"/>
        <w:jc w:val="both"/>
        <w:rPr>
          <w:rFonts w:ascii="Times New Roman" w:hAnsi="Times New Roman" w:cs="Times New Roman"/>
          <w:sz w:val="22"/>
        </w:rPr>
      </w:pPr>
      <w:r>
        <w:rPr>
          <w:rFonts w:cs="Times New Roman" w:ascii="Times New Roman" w:hAnsi="Times New Roman"/>
          <w:b/>
          <w:sz w:val="22"/>
        </w:rPr>
        <w:t>Part 2.  Tax Representations.</w:t>
      </w:r>
    </w:p>
    <w:p>
      <w:pPr>
        <w:pStyle w:val="Normal"/>
        <w:keepNext w:val="true"/>
        <w:tabs>
          <w:tab w:val="left" w:pos="720" w:leader="none"/>
        </w:tabs>
        <w:spacing w:lineRule="exact" w:line="240" w:before="120" w:after="0"/>
        <w:ind w:start="720" w:end="0"/>
        <w:jc w:val="both"/>
        <w:rPr>
          <w:rFonts w:ascii="Times New Roman" w:hAnsi="Times New Roman" w:cs="Times New Roman"/>
          <w:sz w:val="22"/>
        </w:rPr>
      </w:pPr>
      <w:r>
        <w:rPr>
          <w:rFonts w:cs="Times New Roman" w:ascii="Times New Roman" w:hAnsi="Times New Roman"/>
          <w:sz w:val="22"/>
        </w:rPr>
        <w:t>Not applicable.</w:t>
      </w:r>
    </w:p>
    <w:p>
      <w:pPr>
        <w:pStyle w:val="Normal"/>
        <w:tabs>
          <w:tab w:val="left" w:pos="720" w:leader="none"/>
        </w:tabs>
        <w:spacing w:lineRule="exact" w:line="240" w:before="120" w:after="0"/>
        <w:ind w:start="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before="120" w:after="0"/>
        <w:ind w:hanging="720" w:start="720" w:end="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  None.</w:t>
      </w:r>
    </w:p>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4.  Miscellaneous.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Addresses for Notices.</w:t>
      </w:r>
      <w:r>
        <w:rPr>
          <w:rFonts w:cs="Times New Roman" w:ascii="Times New Roman" w:hAnsi="Times New Roman"/>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120" w:after="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A:</w:t>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before="240" w:after="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spacing w:lineRule="atLeast" w:line="240" w:before="240" w:after="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p>
          <w:p>
            <w:pPr>
              <w:pStyle w:val="Normal"/>
              <w:tabs>
                <w:tab w:val="left" w:pos="720" w:leader="none"/>
                <w:tab w:val="right" w:pos="9360" w:leader="dot"/>
              </w:tabs>
              <w:spacing w:lineRule="exact" w:line="240" w:before="120" w:after="0"/>
              <w:jc w:val="both"/>
              <w:rPr>
                <w:rFonts w:ascii="Times New Roman" w:hAnsi="Times New Roman" w:cs="Times New Roman"/>
                <w:sz w:val="22"/>
              </w:rPr>
            </w:pPr>
            <w:r>
              <w:rPr>
                <w:rFonts w:cs="Times New Roman" w:ascii="Times New Roman" w:hAnsi="Times New Roman"/>
                <w:sz w:val="22"/>
              </w:rPr>
            </w:r>
          </w:p>
        </w:tc>
        <w:tc>
          <w:tcPr>
            <w:tcW w:w="4140" w:type="dxa"/>
            <w:tcBorders/>
          </w:tcPr>
          <w:p>
            <w:pPr>
              <w:pStyle w:val="Normal"/>
              <w:tabs>
                <w:tab w:val="clear" w:pos="720"/>
                <w:tab w:val="left" w:pos="4230" w:leader="none"/>
                <w:tab w:val="left" w:pos="9360" w:leader="none"/>
              </w:tabs>
              <w:spacing w:lineRule="exact" w:line="240" w:before="240" w:after="0"/>
              <w:jc w:val="both"/>
              <w:rPr>
                <w:rFonts w:ascii="Times New Roman" w:hAnsi="Times New Roman" w:cs="Times New Roman"/>
                <w:sz w:val="22"/>
              </w:rPr>
            </w:pPr>
            <w:r>
              <w:rPr>
                <w:rFonts w:cs="Times New Roman" w:ascii="Times New Roman" w:hAnsi="Times New Roman"/>
                <w:sz w:val="22"/>
              </w:rPr>
              <w:t>Risk Management &amp; Trading Corp.</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P.O Box 4428</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77210-4428</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1400 Smith Street</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77002</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before="240" w:after="0"/>
              <w:ind w:start="72" w:end="0"/>
              <w:jc w:val="both"/>
              <w:rPr>
                <w:rFonts w:ascii="Times New Roman" w:hAnsi="Times New Roman" w:cs="Times New Roman"/>
                <w:sz w:val="22"/>
                <w:u w:val="single"/>
              </w:rPr>
            </w:pPr>
            <w:r>
              <w:rPr>
                <w:rFonts w:cs="Times New Roman" w:ascii="Times New Roman" w:hAnsi="Times New Roman"/>
                <w:sz w:val="22"/>
              </w:rPr>
              <w:t>Telex No.:  765443</w:t>
            </w:r>
          </w:p>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Answerback:  ENRONCORP</w:t>
            </w:r>
          </w:p>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Facsimile No.: (713) 646-4816</w:t>
            </w:r>
          </w:p>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(713) 853-3300</w:t>
            </w:r>
          </w:p>
        </w:tc>
      </w:tr>
    </w:tbl>
    <w:p>
      <w:pPr>
        <w:pStyle w:val="Normal"/>
        <w:tabs>
          <w:tab w:val="clear" w:pos="720"/>
          <w:tab w:val="right" w:pos="9360" w:leader="dot"/>
        </w:tabs>
        <w:spacing w:lineRule="exact" w:line="240" w:before="240" w:after="0"/>
        <w:jc w:val="both"/>
        <w:rPr>
          <w:rFonts w:ascii="Times New Roman" w:hAnsi="Times New Roman" w:cs="Times New Roman"/>
          <w:sz w:val="22"/>
        </w:rPr>
      </w:pPr>
      <w:r>
        <w:rPr>
          <w:rFonts w:cs="Times New Roman" w:ascii="Times New Roman" w:hAnsi="Times New Roman"/>
          <w:sz w:val="22"/>
        </w:rPr>
        <w:t>A copy of any notice sent to Party A pursuant to Section 5 or 6 must also be sent to (i) Risk Management &amp; Trading Corp., Attention:  Corporate Secretary at the above address and facsimile no. (713) 853-2534, and (ii) Risk Management &amp; Trading Corp., Attention:  Assistant General Counsel, Trading Group at the above address and facsimile no. (713) 646-4818.</w:t>
      </w:r>
    </w:p>
    <w:p>
      <w:pPr>
        <w:pStyle w:val="Normal"/>
        <w:tabs>
          <w:tab w:val="clear" w:pos="720"/>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B:</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r>
              <w:rPr>
                <w:rFonts w:cs="Times New Roman" w:ascii="Times New Roman" w:hAnsi="Times New Roman"/>
                <w:sz w:val="22"/>
                <w:u w:val="single"/>
              </w:rPr>
              <w:t xml:space="preserve"> </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Facsimile No.:  </w:t>
            </w:r>
            <w:r>
              <w:rPr>
                <w:rFonts w:cs="Times New Roman" w:ascii="Times New Roman" w:hAnsi="Times New Roman"/>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Telephone No.:  </w:t>
            </w:r>
            <w:r>
              <w:rPr>
                <w:rFonts w:cs="Times New Roman" w:ascii="Times New Roman" w:hAnsi="Times New Roman"/>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Offices; Multibranch Parties.</w:t>
      </w:r>
      <w:r>
        <w:rPr>
          <w:rFonts w:cs="Times New Roman" w:ascii="Times New Roman" w:hAnsi="Times New Roman"/>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Calculation Agent.</w:t>
      </w:r>
      <w:r>
        <w:rPr>
          <w:rFonts w:cs="Times New Roman" w:ascii="Times New Roman" w:hAnsi="Times New Roman"/>
          <w:sz w:val="22"/>
        </w:rPr>
        <w:t xml:space="preserve">  The Calculation Agent is Party A.</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Credit Support Documents.</w:t>
      </w:r>
      <w:r>
        <w:rPr>
          <w:rFonts w:cs="Times New Roman"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none.</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Credit Support Provider.</w:t>
      </w:r>
      <w:r>
        <w:rPr>
          <w:rFonts w:cs="Times New Roman" w:ascii="Times New Roman" w:hAnsi="Times New Roman"/>
          <w:sz w:val="22"/>
        </w:rPr>
        <w:t xml:space="preserve">  (i) Credit Support Provider means in relation to Party A, none, and (ii) Credit Support Provider means in relation to Party B, none.</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Netting of Payments.</w:t>
      </w:r>
      <w:r>
        <w:rPr>
          <w:rFonts w:cs="Times New Roman" w:ascii="Times New Roman" w:hAnsi="Times New Roman"/>
          <w:sz w:val="22"/>
        </w:rPr>
        <w:t xml:space="preserve">  Section 2(c)(ii) will not apply to all Transactions.</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rFonts w:cs="Times New Roman" w:ascii="Times New Roman" w:hAnsi="Times New Roman"/>
          <w:sz w:val="22"/>
        </w:rPr>
        <w:t>(h)</w:t>
        <w:tab/>
      </w:r>
      <w:r>
        <w:rPr>
          <w:rFonts w:cs="Times New Roman" w:ascii="Times New Roman" w:hAnsi="Times New Roman"/>
          <w:b/>
          <w:sz w:val="22"/>
        </w:rPr>
        <w:t>Jurisdiction.</w:t>
      </w:r>
      <w:r>
        <w:rPr>
          <w:rFonts w:cs="Times New Roman" w:ascii="Times New Roman" w:hAnsi="Times New Roman"/>
          <w:sz w:val="22"/>
        </w:rPr>
        <w:t xml:space="preserve">  Section 13(b) is hereby deleted in its entirety and replaced with the following:</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pPr>
      <w:r>
        <w:rPr>
          <w:rFonts w:cs="Times New Roman" w:ascii="Times New Roman" w:hAnsi="Times New Roman"/>
          <w:sz w:val="22"/>
        </w:rPr>
        <w:t>(b)</w:t>
        <w:tab/>
      </w:r>
      <w:r>
        <w:rPr>
          <w:rFonts w:cs="Times New Roman" w:ascii="Times New Roman" w:hAnsi="Times New Roman"/>
          <w:b/>
          <w:sz w:val="22"/>
        </w:rPr>
        <w:t>Agreement To Arbitrate:</w:t>
      </w:r>
      <w:r>
        <w:rPr>
          <w:rFonts w:cs="Times New Roman" w:ascii="Times New Roman" w:hAnsi="Times New Roman"/>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Conduct Of The Arbitration, And Authority Of The Arbitrators:</w:t>
      </w:r>
      <w:r>
        <w:rPr>
          <w:rFonts w:cs="Times New Roman" w:ascii="Times New Roman" w:hAnsi="Times New Roman"/>
          <w:sz w:val="22"/>
        </w:rPr>
        <w:t xml:space="preserve"> </w:t>
      </w:r>
      <w:r>
        <w:rPr>
          <w:rFonts w:cs="Times New Roman" w:ascii="Times New Roman" w:hAnsi="Times New Roman"/>
          <w:i/>
          <w:sz w:val="22"/>
        </w:rPr>
        <w:t xml:space="preserve"> </w:t>
      </w:r>
      <w:r>
        <w:rPr>
          <w:rFonts w:cs="Times New Roman" w:ascii="Times New Roman" w:hAnsi="Times New Roman"/>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Forum For The Arbitration And Selection Of Arbitrators:</w:t>
      </w:r>
      <w:r>
        <w:rPr>
          <w:rFonts w:cs="Times New Roman" w:ascii="Times New Roman" w:hAnsi="Times New Roman"/>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Confidentiality:</w:t>
      </w:r>
      <w:r>
        <w:rPr>
          <w:rFonts w:cs="Times New Roman" w:ascii="Times New Roman" w:hAnsi="Times New Roman"/>
          <w:sz w:val="22"/>
        </w:rPr>
        <w:t xml:space="preserve">  To the fullest extent permitted by law, any arbitration proceeding and the arbitrators award shall be maintained in confidence by the parties.</w:t>
      </w:r>
    </w:p>
    <w:p>
      <w:pPr>
        <w:pStyle w:val="Normal"/>
        <w:keepNext w:val="true"/>
        <w:spacing w:lineRule="exact" w:line="240" w:before="480" w:after="0"/>
        <w:jc w:val="both"/>
        <w:rPr>
          <w:rFonts w:ascii="Times New Roman" w:hAnsi="Times New Roman" w:cs="Times New Roman"/>
          <w:b/>
          <w:sz w:val="22"/>
        </w:rPr>
      </w:pPr>
      <w:r>
        <w:rPr>
          <w:rFonts w:cs="Times New Roman" w:ascii="Times New Roman" w:hAnsi="Times New Roman"/>
          <w:b/>
          <w:sz w:val="22"/>
        </w:rPr>
        <w:t>Part 5.  Other Provisions.</w:t>
      </w:r>
    </w:p>
    <w:p>
      <w:pPr>
        <w:pStyle w:val="Normal"/>
        <w:keepNext w:val="true"/>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Conditions Precedent.</w:t>
      </w:r>
      <w:r>
        <w:rPr>
          <w:rFonts w:cs="Times New Roman" w:ascii="Times New Roman" w:hAnsi="Times New Roman"/>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Representations.</w:t>
      </w:r>
      <w:r>
        <w:rPr>
          <w:rFonts w:cs="Times New Roman" w:ascii="Times New Roman" w:hAnsi="Times New Roman"/>
          <w:sz w:val="22"/>
        </w:rPr>
        <w:t xml:space="preserve">  Section 3 is hereby amended by adding at the end thereof the following Subsections (g), (h), (i), and (j):</w:t>
      </w:r>
    </w:p>
    <w:p>
      <w:pPr>
        <w:pStyle w:val="Normal"/>
        <w:spacing w:lineRule="exact" w:line="240" w:before="240" w:after="0"/>
        <w:ind w:firstLine="720" w:start="720" w:end="0"/>
        <w:jc w:val="both"/>
        <w:rPr>
          <w:sz w:val="22"/>
        </w:rPr>
      </w:pPr>
      <w:r>
        <w:rPr>
          <w:rFonts w:cs="Times New Roman" w:ascii="Times New Roman" w:hAnsi="Times New Roman"/>
          <w:sz w:val="22"/>
        </w:rPr>
        <w:t>(g)</w:t>
        <w:tab/>
      </w:r>
      <w:r>
        <w:rPr>
          <w:b/>
          <w:sz w:val="22"/>
        </w:rPr>
        <w:t>Line of Business.</w:t>
      </w:r>
      <w:r>
        <w:rPr>
          <w:sz w:val="22"/>
        </w:rPr>
        <w:t xml:space="preserve">  </w:t>
      </w:r>
      <w:r>
        <w:rPr>
          <w:sz w:val="22"/>
          <w:szCs w:val="22"/>
        </w:rPr>
        <w:t>(i)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rFonts w:cs="Times New Roman" w:ascii="Times New Roman" w:hAnsi="Times New Roman"/>
          <w:sz w:val="22"/>
        </w:rPr>
        <w:t>(h)</w:t>
        <w:tab/>
      </w:r>
      <w:r>
        <w:rPr>
          <w:rFonts w:cs="Times New Roman" w:ascii="Times New Roman" w:hAnsi="Times New Roman"/>
          <w:b/>
          <w:sz w:val="22"/>
        </w:rPr>
        <w:t>Eligible Swap Participant.</w:t>
      </w:r>
      <w:r>
        <w:rPr>
          <w:rFonts w:cs="Times New Roman" w:ascii="Times New Roman" w:hAnsi="Times New Roman"/>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rFonts w:cs="Times New Roman" w:ascii="Times New Roman" w:hAnsi="Times New Roman"/>
          <w:sz w:val="22"/>
        </w:rPr>
        <w:t>(i)</w:t>
      </w:r>
      <w:r>
        <w:rPr>
          <w:rFonts w:cs="Times New Roman" w:ascii="Times New Roman" w:hAnsi="Times New Roman"/>
          <w:b/>
          <w:sz w:val="22"/>
        </w:rPr>
        <w:tab/>
        <w:t>Customization and Creditworthiness.</w:t>
      </w:r>
      <w:r>
        <w:rPr>
          <w:rFonts w:cs="Times New Roman" w:ascii="Times New Roman" w:hAnsi="Times New Roman"/>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rFonts w:cs="Times New Roman" w:ascii="Times New Roman" w:hAnsi="Times New Roman"/>
          <w:sz w:val="22"/>
        </w:rPr>
        <w:t>(j)</w:t>
        <w:tab/>
      </w:r>
      <w:r>
        <w:rPr>
          <w:rFonts w:cs="Times New Roman" w:ascii="Times New Roman" w:hAnsi="Times New Roman"/>
          <w:b/>
          <w:sz w:val="22"/>
        </w:rPr>
        <w:t>No Reliance.</w:t>
      </w:r>
      <w:r>
        <w:rPr>
          <w:rFonts w:cs="Times New Roman" w:ascii="Times New Roman" w:hAnsi="Times New Roman"/>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Reference Market-makers.</w:t>
      </w:r>
      <w:r>
        <w:rPr>
          <w:rFonts w:cs="Times New Roman" w:ascii="Times New Roman" w:hAnsi="Times New Roman"/>
          <w:sz w:val="22"/>
        </w:rPr>
        <w:t xml:space="preserve">  The definition of </w:t>
      </w:r>
      <w:r>
        <w:rPr>
          <w:rFonts w:cs="Times New Roman" w:ascii="Times New Roman" w:hAnsi="Times New Roman"/>
          <w:b/>
          <w:sz w:val="22"/>
        </w:rPr>
        <w:t>“Reference Market-makers”</w:t>
      </w:r>
      <w:r>
        <w:rPr>
          <w:rFonts w:cs="Times New Roman" w:ascii="Times New Roman" w:hAnsi="Times New Roman"/>
          <w:sz w:val="22"/>
        </w:rPr>
        <w:t xml:space="preserve"> in Section 14 is hereby amended by deleting clause (b) thereof.</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Definitions.</w:t>
      </w:r>
      <w:r>
        <w:rPr>
          <w:rFonts w:cs="Times New Roman" w:ascii="Times New Roman" w:hAnsi="Times New Roman"/>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Procedures for Entering into Transactions.</w:t>
      </w:r>
      <w:r>
        <w:rPr>
          <w:rFonts w:cs="Times New Roman"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rFonts w:cs="Times New Roman" w:ascii="Times New Roman" w:hAnsi="Times New Roman"/>
          <w:sz w:val="22"/>
        </w:rPr>
        <w:t>(f)</w:t>
      </w:r>
      <w:r>
        <w:rPr>
          <w:rFonts w:cs="Times New Roman" w:ascii="Times New Roman" w:hAnsi="Times New Roman"/>
          <w:b/>
          <w:sz w:val="22"/>
        </w:rPr>
        <w:tab/>
        <w:t>Recording.</w:t>
      </w:r>
      <w:r>
        <w:rPr>
          <w:rFonts w:cs="Times New Roman" w:ascii="Times New Roman" w:hAnsi="Times New Roman"/>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Setoff.</w:t>
      </w:r>
      <w:r>
        <w:rPr>
          <w:rFonts w:cs="Times New Roman" w:ascii="Times New Roman" w:hAnsi="Times New Roman"/>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rFonts w:cs="Times New Roman" w:ascii="Times New Roman" w:hAnsi="Times New Roman"/>
          <w:sz w:val="22"/>
        </w:rPr>
        <w:t>(i)</w:t>
        <w:tab/>
      </w:r>
      <w:r>
        <w:rPr>
          <w:rFonts w:cs="Times New Roman" w:ascii="Times New Roman" w:hAnsi="Times New Roman"/>
          <w:b/>
          <w:sz w:val="22"/>
        </w:rPr>
        <w:t>Confidentiality.</w:t>
      </w:r>
      <w:r>
        <w:rPr>
          <w:rFonts w:cs="Times New Roman"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pPr>
      <w:r>
        <w:rPr>
          <w:rFonts w:cs="Times New Roman" w:ascii="Times New Roman" w:hAnsi="Times New Roman"/>
          <w:sz w:val="22"/>
        </w:rPr>
        <w:t>(j)</w:t>
        <w:tab/>
      </w:r>
      <w:r>
        <w:rPr>
          <w:rFonts w:cs="Times New Roman" w:ascii="Times New Roman" w:hAnsi="Times New Roman"/>
          <w:b/>
          <w:sz w:val="22"/>
        </w:rPr>
        <w:t>Transfer.</w:t>
      </w:r>
      <w:r>
        <w:rPr>
          <w:rFonts w:cs="Times New Roman" w:ascii="Times New Roman" w:hAnsi="Times New Roman"/>
          <w:sz w:val="22"/>
        </w:rPr>
        <w:t xml:space="preserve">  Section 7 is hereby amended by adding the following Subsection (c):</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(c)  Party A or Party B may transfer its rights and obligations under this Agreement, in whole but not in part, to any Affiliate provided that such transfer will not give rise to a Termination Event or an Event of Default.”</w:t>
      </w:r>
    </w:p>
    <w:p>
      <w:pPr>
        <w:pStyle w:val="Normal"/>
        <w:spacing w:lineRule="exact" w:line="240" w:before="240" w:after="0"/>
        <w:ind w:firstLine="720" w:end="0"/>
        <w:jc w:val="both"/>
        <w:rPr/>
      </w:pPr>
      <w:r>
        <w:rPr>
          <w:rFonts w:cs="Times New Roman" w:ascii="Times New Roman" w:hAnsi="Times New Roman"/>
          <w:sz w:val="22"/>
        </w:rPr>
        <w:t>(k)</w:t>
        <w:tab/>
      </w:r>
      <w:r>
        <w:rPr>
          <w:rFonts w:cs="Times New Roman" w:ascii="Times New Roman" w:hAnsi="Times New Roman"/>
          <w:b/>
          <w:sz w:val="22"/>
        </w:rPr>
        <w:t>Applicable Rate.</w:t>
      </w:r>
      <w:r>
        <w:rPr>
          <w:rFonts w:cs="Times New Roman" w:ascii="Times New Roman" w:hAnsi="Times New Roman"/>
          <w:sz w:val="22"/>
        </w:rPr>
        <w:t xml:space="preserve">  The definition of </w:t>
      </w:r>
      <w:r>
        <w:rPr>
          <w:rFonts w:cs="Times New Roman" w:ascii="Times New Roman" w:hAnsi="Times New Roman"/>
          <w:b/>
          <w:sz w:val="22"/>
        </w:rPr>
        <w:t>“Applicable Rate”</w:t>
      </w:r>
      <w:r>
        <w:rPr>
          <w:rFonts w:cs="Times New Roman" w:ascii="Times New Roman" w:hAnsi="Times New Roman"/>
          <w:sz w:val="22"/>
        </w:rPr>
        <w:t xml:space="preserve"> set forth in Section 14 is hereby amended by adding to the end of Subsection (b) of the definition after the word “Rate” the following provision:  “;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if the payee is a Defaulting Party for purposes of Section 6(e), then the rate shall be the Non-default Rate.”</w:t>
      </w:r>
    </w:p>
    <w:p>
      <w:pPr>
        <w:pStyle w:val="Normal"/>
        <w:spacing w:lineRule="exact" w:line="240" w:before="240" w:after="0"/>
        <w:ind w:firstLine="720" w:end="0"/>
        <w:jc w:val="both"/>
        <w:rPr/>
      </w:pPr>
      <w:r>
        <w:rPr>
          <w:rFonts w:cs="Times New Roman" w:ascii="Times New Roman" w:hAnsi="Times New Roman"/>
          <w:sz w:val="22"/>
        </w:rPr>
        <w:t>(l)</w:t>
        <w:tab/>
      </w:r>
      <w:r>
        <w:rPr>
          <w:rFonts w:cs="Times New Roman" w:ascii="Times New Roman" w:hAnsi="Times New Roman"/>
          <w:b/>
          <w:bCs/>
          <w:sz w:val="22"/>
        </w:rPr>
        <w:t>S</w:t>
      </w:r>
      <w:r>
        <w:rPr>
          <w:rFonts w:cs="Times New Roman" w:ascii="Times New Roman" w:hAnsi="Times New Roman"/>
          <w:b/>
          <w:sz w:val="22"/>
        </w:rPr>
        <w:t>everability.</w:t>
      </w:r>
      <w:r>
        <w:rPr>
          <w:rFonts w:cs="Times New Roman" w:ascii="Times New Roman" w:hAnsi="Times New Roman"/>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this severability provision shall not be applicable if any provision of Section 1, 2, 5, 6 or 13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w:t>
      </w:r>
      <w:r>
        <w:rPr>
          <w:color w:val="000000"/>
          <w:sz w:val="22"/>
          <w:szCs w:val="22"/>
        </w:rPr>
        <w:t>Agreement shall control.</w:t>
      </w:r>
    </w:p>
    <w:p>
      <w:pPr>
        <w:pStyle w:val="Normal"/>
        <w:spacing w:before="480" w:after="0"/>
        <w:jc w:val="both"/>
        <w:rPr>
          <w:rFonts w:ascii="Times New Roman" w:hAnsi="Times New Roman" w:cs="Times New Roman"/>
          <w:b/>
          <w:sz w:val="22"/>
        </w:rPr>
      </w:pPr>
      <w:r>
        <w:rPr>
          <w:rFonts w:cs="Times New Roman" w:ascii="Times New Roman" w:hAnsi="Times New Roman"/>
          <w:b/>
          <w:sz w:val="22"/>
        </w:rPr>
        <w:t>Part 6.  Additional Provisions For Commodity Derivatives Transactions.</w:t>
      </w:r>
    </w:p>
    <w:p>
      <w:pPr>
        <w:pStyle w:val="Justified"/>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w:t>
        <w:tab/>
        <w:t>“Postponement”, with three (3) Commodity Business Days as the Maximum Days of Disruption;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w:t>
        <w:tab/>
        <w:t>“Fallback Reference Price” (if the relevant parties have specified an alternate Commodity Reference Price in the Confirmation);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(iii)</w:t>
        <w:tab/>
        <w:t>“Negotiated Fallback” (provided that the reference in Section 7.5(c)(ii) to “fifth Business Day” shall be amended to be “twelfth Business Day”); and</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Header"/>
        <w:rPr>
          <w:rFonts w:ascii="Times New Roman" w:hAnsi="Times New Roman" w:cs="Times New Roman"/>
          <w:sz w:val="22"/>
        </w:rPr>
      </w:pPr>
      <w:r>
        <w:rPr>
          <w:rFonts w:cs="Times New Roman" w:ascii="Times New Roman" w:hAnsi="Times New Roman"/>
          <w:sz w:val="22"/>
        </w:rPr>
      </w:r>
    </w:p>
    <w:p>
      <w:pPr>
        <w:pStyle w:val="Justified"/>
        <w:keepNext w:val="true"/>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RISK MANAGEMENT &amp; TRADING CORP.</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tabs>
                <w:tab w:val="clear" w:pos="720"/>
                <w:tab w:val="left" w:pos="4320" w:leader="none"/>
              </w:tabs>
              <w:spacing w:lineRule="exact" w:line="24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c>
          <w:tcPr>
            <w:tcW w:w="4788" w:type="dxa"/>
            <w:tcBorders/>
          </w:tcPr>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[COUNTERPARTY]</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spacing w:lineRule="exact" w:line="240"/>
              <w:jc w:val="both"/>
              <w:rPr/>
            </w:pPr>
            <w:r>
              <w:rPr>
                <w:rFonts w:cs="Times New Roman" w:ascii="Times New Roman" w:hAnsi="Times New Roman"/>
                <w:sz w:val="22"/>
              </w:rPr>
              <w:t>Title:</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keepNext w:val="true"/>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US" w:bidi="ar-SA" w:eastAsia="zh-C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widowControl w:val="false"/>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widowControl w:val="false"/>
      <w:spacing w:lineRule="exact" w:line="240"/>
      <w:ind w:hanging="0" w:start="720" w:end="0"/>
      <w:jc w:val="both"/>
    </w:pPr>
    <w:rPr>
      <w:rFonts w:ascii="Times New Roman" w:hAnsi="Times New Roman" w:cs="Times New Roman"/>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sz w:val="22"/>
    </w:rPr>
  </w:style>
  <w:style w:type="paragraph" w:styleId="BodyTextIndent3">
    <w:name w:val="Body Text Indent 3"/>
    <w:basedOn w:val="Normal"/>
    <w:qFormat/>
    <w:pPr>
      <w:spacing w:lineRule="exact" w:line="240"/>
      <w:ind w:firstLine="720" w:start="720" w:end="0"/>
      <w:jc w:val="both"/>
    </w:pPr>
    <w:rPr>
      <w:rFonts w:ascii="Times New Roman" w:hAnsi="Times New Roman" w:cs="Times New Roman"/>
      <w:sz w:val="22"/>
    </w:rPr>
  </w:style>
  <w:style w:type="paragraph" w:styleId="BodyText2">
    <w:name w:val="Body Text 2"/>
    <w:basedOn w:val="Normal"/>
    <w:qFormat/>
    <w:pPr>
      <w:widowControl w:val="false"/>
      <w:spacing w:lineRule="exact" w:line="240"/>
      <w:ind w:hanging="0" w:start="72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2000-10-03T13:12:00Z</dcterms:created>
  <dc:creator>jdobern</dc:creator>
  <dc:description/>
  <dc:language>en-CA</dc:language>
  <cp:lastModifiedBy>tjones</cp:lastModifiedBy>
  <cp:lastPrinted>2000-08-10T09:37:00Z</cp:lastPrinted>
  <dcterms:modified xsi:type="dcterms:W3CDTF">2000-10-03T13:49:00Z</dcterms:modified>
  <cp:revision>7</cp:revision>
  <dc:subject>2nd Draft 8/10/93rmj</dc:subject>
  <dc:title>SCHEDULE TO THE MASTER AGREEMENT</dc:title>
</cp:coreProperties>
</file>