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IEP Legislative Draft of Public Utilities Code Section 390 Amendment</w:t>
      </w:r>
    </w:p>
    <w:p>
      <w:pPr>
        <w:pStyle w:val="Normal"/>
        <w:widowControl w:val="false"/>
        <w:autoSpaceDE w:val="false"/>
        <w:spacing w:lineRule="atLeast" w:line="480"/>
        <w:jc w:val="center"/>
        <w:rPr>
          <w:rFonts w:ascii="Arial" w:hAnsi="Arial" w:cs="Arial"/>
          <w:b/>
          <w:bCs/>
          <w:sz w:val="20"/>
          <w:szCs w:val="20"/>
        </w:rPr>
      </w:pPr>
      <w:r>
        <w:rPr>
          <w:rFonts w:eastAsia="Arial" w:cs="Arial" w:ascii="Arial" w:hAnsi="Arial"/>
          <w:b/>
          <w:bCs/>
          <w:sz w:val="20"/>
          <w:szCs w:val="20"/>
        </w:rPr>
        <w:t xml:space="preserve"> </w:t>
      </w:r>
      <w:r>
        <w:rPr>
          <w:rFonts w:cs="Arial" w:ascii="Arial" w:hAnsi="Arial"/>
          <w:b/>
          <w:bCs/>
          <w:sz w:val="20"/>
          <w:szCs w:val="20"/>
        </w:rPr>
        <w:t>- In Conjunction With A.B. 18 1-X and A.B. 18-X</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jc w:val="center"/>
        <w:rPr>
          <w:rFonts w:ascii="Arial" w:hAnsi="Arial" w:cs="Arial"/>
          <w:b/>
          <w:bCs/>
          <w:sz w:val="20"/>
          <w:szCs w:val="20"/>
        </w:rPr>
      </w:pPr>
      <w:r>
        <w:rPr>
          <w:rFonts w:cs="Arial" w:ascii="Arial" w:hAnsi="Arial"/>
          <w:b/>
          <w:bCs/>
          <w:sz w:val="20"/>
          <w:szCs w:val="20"/>
        </w:rPr>
        <w:t>January 30, 2001 [3:00 p.m. Draft]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jc w:val="center"/>
        <w:rPr>
          <w:rFonts w:ascii="Arial" w:hAnsi="Arial" w:cs="Arial"/>
          <w:b/>
          <w:bCs/>
          <w:sz w:val="20"/>
          <w:szCs w:val="20"/>
        </w:rPr>
      </w:pPr>
      <w:r>
        <w:rPr>
          <w:rFonts w:cs="Arial" w:ascii="Arial" w:hAnsi="Arial"/>
          <w:b/>
          <w:bCs/>
          <w:sz w:val="20"/>
          <w:szCs w:val="20"/>
        </w:rPr>
      </w:r>
    </w:p>
    <w:p>
      <w:pPr>
        <w:pStyle w:val="BodyText"/>
        <w:rPr/>
      </w:pPr>
      <w:r>
        <w:rPr/>
        <w:t>WHEREAS, Section 390(b) of the Public Utilities Code (Code) and commission Decision 96-12-028 currently provide that short-run avoided energy costs within the meaning of the Public Utility Regulatory Policies Act of 1978 (16 U.S.C.A. 796 and 824a-3), and regulations of the Federal Energy Regulatory Commission pursuant thereto (18 C.F.R. Part 292), paid by an electrical corporation to Qualifying Facilities (QFs) is determined monthly based on an average of indices of the price of natural gas at the California border;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rFonts w:ascii="Arial" w:hAnsi="Arial" w:cs="Arial"/>
          <w:sz w:val="20"/>
          <w:szCs w:val="20"/>
        </w:rPr>
      </w:pPr>
      <w:r>
        <w:rPr>
          <w:rFonts w:cs="Arial" w:ascii="Arial" w:hAnsi="Arial"/>
          <w:sz w:val="20"/>
          <w:szCs w:val="20"/>
        </w:rPr>
        <w:t>WHEREAS, the current monthly determination of short-run avoided energy costs produces significant payment volatility and price instability for the electrical corporation and the QFs, respectively, particularly for non-gas fueled QFs which utilize renewable technologies or otherwise do not rely on natural gas as their primary fuel;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rFonts w:ascii="Arial" w:hAnsi="Arial" w:cs="Arial"/>
          <w:sz w:val="20"/>
          <w:szCs w:val="20"/>
        </w:rPr>
      </w:pPr>
      <w:r>
        <w:rPr>
          <w:rFonts w:cs="Arial" w:ascii="Arial" w:hAnsi="Arial"/>
          <w:sz w:val="20"/>
          <w:szCs w:val="20"/>
        </w:rPr>
        <w:t>WHEREAS, restatement of short-run avoided energy costs for non-gas fueled QFs from the current monthly determination into a fixed value for a term of years will benefit customers by reducing payment volatility and increasing price stability for the electrical corporation and the QFs, respectively;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rFonts w:ascii="Arial" w:hAnsi="Arial" w:cs="Arial"/>
          <w:sz w:val="20"/>
          <w:szCs w:val="20"/>
        </w:rPr>
      </w:pPr>
      <w:r>
        <w:rPr>
          <w:rFonts w:cs="Arial" w:ascii="Arial" w:hAnsi="Arial"/>
          <w:sz w:val="20"/>
          <w:szCs w:val="20"/>
        </w:rPr>
        <w:t xml:space="preserve">WHEREAS, California's biomass-to-energy industry provides clean renewable energy by converting millions of tons of waste wood and related organic materials derived from agricultural, urban and forestry-related sources into electricity every year, but at substantial expense; and it is in the public interest to provide incentives to the biomass-to-energy industry to reduce the cost of biomass fuel and retain the environmental and other benefits provided therefrom.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rFonts w:ascii="Arial" w:hAnsi="Arial" w:cs="Arial"/>
          <w:sz w:val="20"/>
          <w:szCs w:val="20"/>
        </w:rPr>
      </w:pPr>
      <w:r>
        <w:rPr>
          <w:rFonts w:cs="Arial" w:ascii="Arial" w:hAnsi="Arial"/>
          <w:sz w:val="20"/>
          <w:szCs w:val="20"/>
        </w:rPr>
        <w:t>Accordingly, Section 390 of the Public Utilities Code is amended to add the following provisions: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pPr>
      <w:r>
        <w:rPr>
          <w:rFonts w:cs="Arial" w:ascii="Arial" w:hAnsi="Arial"/>
          <w:sz w:val="20"/>
          <w:szCs w:val="20"/>
        </w:rPr>
        <w:t>390.1</w:t>
        <w:tab/>
      </w:r>
      <w:r>
        <w:rPr>
          <w:rFonts w:cs="Arial" w:ascii="Arial" w:hAnsi="Arial"/>
          <w:sz w:val="20"/>
          <w:szCs w:val="20"/>
          <w:u w:val="single"/>
        </w:rPr>
        <w:t>General Provisions</w:t>
      </w:r>
    </w:p>
    <w:p>
      <w:pPr>
        <w:pStyle w:val="BodyTextIndent"/>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t>a.</w:t>
        <w:tab/>
        <w:t xml:space="preserve">The effectiveness of these amendments to Section 390 of the Code is contingent upon the passage and signing into law of the [omnibus bill] which must include provisions for the timely payment to non-gas fueled QFs of amounts due under the power purchase contracts ("contracts"). </w:t>
      </w:r>
    </w:p>
    <w:p>
      <w:pPr>
        <w:pStyle w:val="BodyTextIndent"/>
        <w:rPr/>
      </w:pPr>
      <w:r>
        <w:rPr/>
        <w:t>b.</w:t>
        <w:tab/>
        <w:t>“SRAC” means the short run avoided cost energy methodology for the establishment of energy prices paid to non-gas fueled QFs under, as currently described in Section 390(b) of the Code and commission Decision 96-12-028.</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c.   "Non-gas fueled QF" means a qualifying small power production facility, a cogeneration facility whose primary fuel is other than natural gas.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d.</w:t>
        <w:tab/>
        <w:t>Until February 1, 2001, SRAC shall be determined pursuant to the methodology established by Section 390(b) and approved by the commission in Decision 96-12-028.  Beginning on February 1, 2001 and continuing through January 31, 2006, SRAC shall be determined and fixed pursuant to the methodology described in Section 390.2, Section 390.3 or Section 390.4, as applicable to the particular non-gas fueled QF.  Payments made by the electrical corporation to a QF pursuant to any such methodology shall be deemed reasonable for all purposes, including by the commission for cost recovery purposes.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e.</w:t>
        <w:tab/>
        <w:t>Time-of-delivery and seasonal payment allocation factors in effect on February 1, 2001 shall remain unchanged through January 31, 2006.</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f.</w:t>
        <w:tab/>
        <w:t>Energy line loss factors (at both the transmission and distribution level) shall be set at 1.0, unless otherwise specifically set forth in a contract between an electrical corporation and a QF, through January 31, 2006.</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g.</w:t>
        <w:tab/>
        <w:t>This amendment affects only SRAC.  Contract capacity provisions, any non-SRAC energy pricing provisions and all other terms and conditions in existing contracts between an electrical corporation and a QF shall remain unchanged except upon mutual agreement of the electrical corporation and the QF.  Nothing contained within this amendment is intended to discourage or preclude such further mutual agreements with respect to the contracts.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h.</w:t>
        <w:tab/>
        <w:t>The pricing methodologies for establishing SRAC set forth in Sections 390.2, 390.3 and 390.4, below, shall take effect on February 1, 2001 and shall continue through January 31, 2006 (subject to the provisions of Section 390.4 applicable to switching QFs, as defined therein).  Notwithstanding the foregoing, with respect to any Interim Standard Offer 4 contact between an electrical corporation and a QF that is in its fixed energy price period, the pricing methodology set forth in Sections 390.2, 390.3 or 390.4, below, as applicable, shall apply (i) to the portion of the energy payment under such contract that is determined in relation to SRAC and (ii) to any energy deliveries that exceed the monthly average of energy deliveries subject to fixed pricing under such contract.  Upon the termination of the fixed energy price period under the terms of any such contract, the pricing methodology for establishing SRAC set forth in Sections 390.2, 390.3 and 390.4 below shall take effect for all energy deliveries under such contract, through January 31, 2006.</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i.</w:t>
        <w:tab/>
        <w:t>At the election of any QF that has a contract with an electrical corporation, the applicable pricing methodology for establishing SRAC set forth in Sections 390.2, 390.3 and 390.4, below, will be reduced to a written amendment to such QF’s contract and payments made by the electrical corporation to such QF pursuant to any such amendment shall be deemed reasonable for all purposes, including by the commission for cost recovery purposes.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pPr>
      <w:r>
        <w:rPr>
          <w:rFonts w:cs="Arial" w:ascii="Arial" w:hAnsi="Arial"/>
          <w:sz w:val="20"/>
          <w:szCs w:val="20"/>
        </w:rPr>
        <w:t>390.2</w:t>
        <w:tab/>
        <w:t xml:space="preserve"> </w:t>
      </w:r>
      <w:r>
        <w:rPr>
          <w:rFonts w:cs="Arial" w:ascii="Arial" w:hAnsi="Arial"/>
          <w:sz w:val="20"/>
          <w:szCs w:val="20"/>
          <w:u w:val="single"/>
        </w:rPr>
        <w:t>General Pricing Methodology Applicable to Non Gas-Fueled QFs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a.</w:t>
        <w:tab/>
        <w:t>Except as specifically provided in Section 390.3 or 390.4, below, for the term set forth in Section 390.1(c) above, SRAC for energy deliveries by non gas-fueled QFs shall be established as a time weighted period average 5.37 cents per kilowatt hour.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b.</w:t>
        <w:tab/>
        <w:t>After January 31, 2006, the methodology for determining SRAC for energy deliveries by non gas-fueled QFs shall revert to the methodology described in Section 390.1(b), as that methodology on January 1, 2001.</w:t>
      </w:r>
    </w:p>
    <w:p>
      <w:pPr>
        <w:pStyle w:val="Normal"/>
        <w:widowControl w:val="false"/>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rPr/>
      </w:pPr>
      <w:r>
        <w:rPr>
          <w:rFonts w:cs="Arial" w:ascii="Arial" w:hAnsi="Arial"/>
          <w:sz w:val="20"/>
          <w:szCs w:val="20"/>
        </w:rPr>
        <w:t>390.3</w:t>
        <w:tab/>
      </w:r>
      <w:r>
        <w:rPr>
          <w:rFonts w:cs="Arial" w:ascii="Arial" w:hAnsi="Arial"/>
          <w:sz w:val="20"/>
          <w:szCs w:val="20"/>
          <w:u w:val="single"/>
        </w:rPr>
        <w:t>Pricing Methodology for Non-Gas Fueled QFs Whose Primary Energy Source is Solar Energy</w:t>
      </w:r>
    </w:p>
    <w:p>
      <w:pPr>
        <w:pStyle w:val="BodyTextIndent2"/>
        <w:rPr/>
      </w:pPr>
      <w:r>
        <w:rPr/>
        <w:t>For the term set forth in Section 390.1(c) above, SRAC for energy deliveries by non-gas fueled QFs whose primary energy source is solar energy shall be based 75% on the pricing methodology described in Section 390.2(a), above, and 25% on [Caithness language].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rPr/>
      </w:pPr>
      <w:r>
        <w:rPr>
          <w:rFonts w:cs="Arial" w:ascii="Arial" w:hAnsi="Arial"/>
          <w:sz w:val="20"/>
          <w:szCs w:val="20"/>
        </w:rPr>
        <w:t>390.4</w:t>
        <w:tab/>
      </w:r>
      <w:r>
        <w:rPr>
          <w:rFonts w:cs="Arial" w:ascii="Arial" w:hAnsi="Arial"/>
          <w:sz w:val="20"/>
          <w:szCs w:val="20"/>
          <w:u w:val="single"/>
        </w:rPr>
        <w:t>Pricing Methodology for Non-Gas Fueled QFs Which Have Switched to PX-Based Pricing</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pPr>
      <w:r>
        <w:rPr>
          <w:rFonts w:cs="Arial" w:ascii="Arial" w:hAnsi="Arial"/>
          <w:sz w:val="20"/>
          <w:szCs w:val="20"/>
        </w:rPr>
        <w:t>a.</w:t>
        <w:tab/>
        <w:t>Non-gas fueled QFs that elected to have SRAC based on the day-ahead clearing price paid by the independent Power Exchange under Section 390(c), as authorized by the commission in Decision 99-11-025 (such QFs being “switching QFs”), shall be paid for energy deliveries in January 2001 only pursuant to the SRAC methodology as defined in Section 390.1(b).  [</w:t>
      </w:r>
      <w:r>
        <w:rPr>
          <w:rFonts w:cs="Arial" w:ascii="Arial" w:hAnsi="Arial"/>
          <w:b/>
          <w:bCs/>
          <w:sz w:val="20"/>
          <w:szCs w:val="20"/>
        </w:rPr>
        <w:t>Gas-Fired Switching QF Language</w:t>
      </w:r>
      <w:r>
        <w:rPr>
          <w:rFonts w:cs="Arial" w:ascii="Arial" w:hAnsi="Arial"/>
          <w:sz w:val="20"/>
          <w:szCs w:val="20"/>
        </w:rPr>
        <w:t xml:space="preserve">  Switching QFs that are gas-fired generators shall be referred to as “gas-fired switching QFs,” and switching QFs that are non gas-fired generators shall be referred to as “non gas-fired switching QFs.”]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b.</w:t>
        <w:tab/>
        <w:t>The “switch date” for each switching QF shall be the date on which such switching QF began receiving SRAC based on the day-ahead clearing price paid by the independent Power Exchange under Section 390(c).  For each switching QF, the provisions of Section 390.4(c) and 390.4(d) shall apply for the term (the “term”) described in this Section, depending on the switch date of such switching QF:</w:t>
      </w:r>
    </w:p>
    <w:p>
      <w:pPr>
        <w:pStyle w:val="Normal"/>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pPr>
      <w:r>
        <w:rPr>
          <w:rFonts w:cs="Arial" w:ascii="Arial" w:hAnsi="Arial"/>
          <w:sz w:val="20"/>
          <w:szCs w:val="20"/>
          <w:u w:val="single"/>
        </w:rPr>
        <w:t>Switch Date</w:t>
      </w:r>
      <w:r>
        <w:rPr>
          <w:rFonts w:cs="Arial" w:ascii="Arial" w:hAnsi="Arial"/>
          <w:sz w:val="20"/>
          <w:szCs w:val="20"/>
        </w:rPr>
        <w:tab/>
      </w:r>
      <w:r>
        <w:rPr>
          <w:rFonts w:cs="Arial" w:ascii="Arial" w:hAnsi="Arial"/>
          <w:sz w:val="20"/>
          <w:szCs w:val="20"/>
          <w:u w:val="single"/>
        </w:rPr>
        <w:t>Term for prices under Section 390.4(c) and 390.4(d)</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June 1, 2000</w:t>
        <w:tab/>
        <w:tab/>
        <w:t>54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July 1, 2000</w:t>
        <w:tab/>
        <w:tab/>
        <w:t>48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August 1, 2000</w:t>
        <w:tab/>
        <w:tab/>
        <w:t>42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September 1, 2000</w:t>
        <w:tab/>
        <w:tab/>
        <w:t>36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October 1, 2000</w:t>
        <w:tab/>
        <w:tab/>
        <w:t>30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November 1, 2000</w:t>
        <w:tab/>
        <w:tab/>
        <w:t>24 months</w:t>
      </w:r>
    </w:p>
    <w:p>
      <w:pPr>
        <w:pStyle w:val="Normal"/>
        <w:widowControl w:val="false"/>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start="1440" w:end="0"/>
        <w:rPr>
          <w:rFonts w:ascii="Arial" w:hAnsi="Arial" w:cs="Arial"/>
          <w:sz w:val="20"/>
          <w:szCs w:val="20"/>
        </w:rPr>
      </w:pPr>
      <w:r>
        <w:rPr>
          <w:rFonts w:cs="Arial" w:ascii="Arial" w:hAnsi="Arial"/>
          <w:sz w:val="20"/>
          <w:szCs w:val="20"/>
        </w:rPr>
        <w:t>December 1, 2000</w:t>
        <w:tab/>
        <w:tab/>
        <w:t>18 months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pPr>
      <w:r>
        <w:rPr>
          <w:rFonts w:cs="Arial" w:ascii="Arial" w:hAnsi="Arial"/>
          <w:sz w:val="20"/>
          <w:szCs w:val="20"/>
        </w:rPr>
        <w:t>[c.</w:t>
        <w:tab/>
      </w:r>
      <w:r>
        <w:rPr>
          <w:rFonts w:cs="Arial" w:ascii="Arial" w:hAnsi="Arial"/>
          <w:b/>
          <w:bCs/>
          <w:sz w:val="20"/>
          <w:szCs w:val="20"/>
        </w:rPr>
        <w:t>Gas-Fired Switcing QF Language</w:t>
      </w:r>
      <w:r>
        <w:rPr>
          <w:rFonts w:cs="Arial" w:ascii="Arial" w:hAnsi="Arial"/>
          <w:sz w:val="20"/>
          <w:szCs w:val="20"/>
        </w:rPr>
        <w:t xml:space="preserve">  Notwithstanding the provisions of Section 390.2 above, beginning on February 1, 2001 and continuing for the term described in Section 390.4(b) above, SRAC for energy deliveries to an electrical corporation by gas-fired switching QFs shall be adjusted by subtracting 0.35 cents per kWh from the SRAC rate established pursuant to the methodology set forth in Section 390.2 above.  Following the expiration of the term set forth in Section 390.4(b) above, SRAC for such energy deliveries by gas-fired switching QFs shall be established pursuant to the methodology set forth in Section 390.2 above.]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d.</w:t>
        <w:tab/>
        <w:t>Notwithstanding the provisions of Section 390.3 above, beginning on February 1, 2001, and continuing for the term described in Section 390.4(b) above, SRAC for energy deliveries to an electrical corporation by non gas-fueled switching QFs shall be established as 5.02 cents per kilowatt-hour.  Following the expiration of the term set forth in Section 390.4(b) above, SRAC for such energy deliveries by non gas-fired switching QFs shall be established pursuant to the methodology set forth in Section 390.3 above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e.</w:t>
        <w:tab/>
        <w:t>There shall be no revision of the determination of SRAC or for energy prices payable by an electrical corporation to switching QFs for energy deliveries during the period June 1, 2000 through December 31, 2000.</w:t>
      </w:r>
    </w:p>
    <w:p>
      <w:pPr>
        <w:pStyle w:val="Normal"/>
        <w:widowControl w:val="false"/>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rPr/>
      </w:pPr>
      <w:r>
        <w:rPr>
          <w:rFonts w:cs="Arial" w:ascii="Arial" w:hAnsi="Arial"/>
          <w:sz w:val="20"/>
          <w:szCs w:val="20"/>
        </w:rPr>
        <w:t xml:space="preserve">390.5   </w:t>
      </w:r>
      <w:r>
        <w:rPr>
          <w:rFonts w:cs="Arial" w:ascii="Arial" w:hAnsi="Arial"/>
          <w:sz w:val="20"/>
          <w:szCs w:val="20"/>
          <w:u w:val="single"/>
        </w:rPr>
        <w:t>Biomass-to-Energy Incentive Grant Program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a.    Section 1101 of the Food and Agriculture Code is amended to state in full:  "This part shall be known, and may be cited, as the Biomass-to-Energy Incentive Grant Program."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rPr>
          <w:rFonts w:ascii="Arial" w:hAnsi="Arial" w:cs="Arial"/>
          <w:sz w:val="20"/>
          <w:szCs w:val="20"/>
        </w:rPr>
      </w:pPr>
      <w:r>
        <w:rPr>
          <w:rFonts w:cs="Arial" w:ascii="Arial" w:hAnsi="Arial"/>
          <w:sz w:val="20"/>
          <w:szCs w:val="20"/>
        </w:rPr>
        <w:t>b.   Section 1102(f) of the Food and Agriculture Code is amended to state in full:  "It is the intent of the Legislature to provide funding of thirty million dollars ($30,000,000) per year beginning July 1, 2001, to expand the incentive grant program to provide funding to offset the costs of biomass fuels including, but not limited to, qualified agricultural, urban and forestry-related sources utilized by the biomass-to-energy industry, and to extend the application of the incentive grant program to all biomass-to-energy generators through June 30, 2006."</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January 30, 2001, 3:00pm DRAFT</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autoSpaceDE w:val="false"/>
      <w:spacing w:lineRule="atLeast" w:line="480"/>
      <w:jc w:val="center"/>
    </w:pPr>
    <w:rPr>
      <w:rFonts w:ascii="Arial" w:hAnsi="Arial" w:cs="Arial"/>
      <w:b/>
      <w:bCs/>
      <w:sz w:val="20"/>
      <w:szCs w:val="20"/>
    </w:rPr>
  </w:style>
  <w:style w:type="paragraph" w:styleId="BodyText">
    <w:name w:val="Body Tex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tLeast" w:line="480"/>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360" w:start="1440" w:end="0"/>
    </w:pPr>
    <w:rPr>
      <w:rFonts w:ascii="Arial" w:hAnsi="Arial" w:cs="Arial"/>
      <w:sz w:val="20"/>
      <w:szCs w:val="20"/>
    </w:rPr>
  </w:style>
  <w:style w:type="paragraph" w:styleId="BodyTextIndent2">
    <w:name w:val="Body Text Indent 2"/>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spacing w:lineRule="atLeast" w:line="480"/>
      <w:ind w:hanging="0" w:start="108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2001-01-30T18:40:00Z</dcterms:created>
  <dc:creator>EricJ</dc:creator>
  <dc:description/>
  <dc:language>en-CA</dc:language>
  <cp:lastModifiedBy>EricJ</cp:lastModifiedBy>
  <dcterms:modified xsi:type="dcterms:W3CDTF">2001-01-30T18:49:00Z</dcterms:modified>
  <cp:revision>8</cp:revision>
  <dc:subject/>
  <dc:title>IEP Legislative Draft of Public Utilities Code Section 390 Amendment</dc:title>
</cp:coreProperties>
</file>