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footer5.xml" ContentType="application/vnd.openxmlformats-officedocument.wordprocessingml.footer+xml"/>
  <Override PartName="/word/footer19.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20.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7.xml" ContentType="application/vnd.openxmlformats-officedocument.wordprocessingml.footer+xml"/>
  <Override PartName="/word/footer21.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settings.xml" ContentType="application/vnd.openxmlformats-officedocument.wordprocessingml.settings+xml"/>
  <Override PartName="/word/header9.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36"/>
        </w:rPr>
      </w:pPr>
      <w:r>
        <w:rPr>
          <w:sz w:val="36"/>
        </w:rPr>
        <w:t>SCHEDULES</w:t>
      </w:r>
    </w:p>
    <w:p>
      <w:pPr>
        <w:pStyle w:val="Normal"/>
        <w:jc w:val="center"/>
        <w:rPr>
          <w:sz w:val="36"/>
        </w:rPr>
      </w:pPr>
      <w:r>
        <w:rPr>
          <w:sz w:val="36"/>
        </w:rPr>
      </w:r>
    </w:p>
    <w:p>
      <w:pPr>
        <w:pStyle w:val="Normal"/>
        <w:jc w:val="center"/>
        <w:rPr>
          <w:sz w:val="36"/>
        </w:rPr>
      </w:pPr>
      <w:r>
        <w:rPr>
          <w:sz w:val="36"/>
        </w:rPr>
        <w:t>TO</w:t>
      </w:r>
    </w:p>
    <w:p>
      <w:pPr>
        <w:pStyle w:val="Normal"/>
        <w:jc w:val="center"/>
        <w:rPr>
          <w:sz w:val="36"/>
        </w:rPr>
      </w:pPr>
      <w:r>
        <w:rPr>
          <w:sz w:val="36"/>
        </w:rPr>
      </w:r>
    </w:p>
    <w:p>
      <w:pPr>
        <w:pStyle w:val="Normal"/>
        <w:jc w:val="center"/>
        <w:rPr>
          <w:sz w:val="36"/>
        </w:rPr>
      </w:pPr>
      <w:r>
        <w:rPr>
          <w:sz w:val="36"/>
        </w:rPr>
        <w:t>PURCHASE AND SALE AGREEMENT</w:t>
      </w:r>
    </w:p>
    <w:p>
      <w:pPr>
        <w:pStyle w:val="Normal"/>
        <w:jc w:val="center"/>
        <w:rPr>
          <w:sz w:val="36"/>
        </w:rPr>
      </w:pPr>
      <w:r>
        <w:rPr>
          <w:sz w:val="36"/>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center"/>
        <w:rPr>
          <w:sz w:val="36"/>
        </w:rPr>
      </w:pPr>
      <w:r>
        <w:rPr>
          <w:sz w:val="36"/>
        </w:rPr>
      </w:r>
    </w:p>
    <w:p>
      <w:pPr>
        <w:pStyle w:val="Normal"/>
        <w:jc w:val="center"/>
        <w:rPr/>
      </w:pPr>
      <w:r>
        <w:rPr/>
        <w:t>PURCHASE AND SALE AGREEMENT</w:t>
      </w:r>
    </w:p>
    <w:p>
      <w:pPr>
        <w:pStyle w:val="Normal"/>
        <w:jc w:val="center"/>
        <w:rPr/>
      </w:pPr>
      <w:r>
        <w:rPr/>
      </w:r>
    </w:p>
    <w:p>
      <w:pPr>
        <w:pStyle w:val="Normal"/>
        <w:jc w:val="center"/>
        <w:rPr/>
      </w:pPr>
      <w:r>
        <w:rPr/>
        <w:t>Schedule 1.1(a)</w:t>
      </w:r>
    </w:p>
    <w:p>
      <w:pPr>
        <w:pStyle w:val="Normal"/>
        <w:jc w:val="center"/>
        <w:rPr/>
      </w:pPr>
      <w:r>
        <w:rPr/>
        <w:t>Company Guarantees</w:t>
      </w:r>
    </w:p>
    <w:p>
      <w:pPr>
        <w:pStyle w:val="Normal"/>
        <w:rPr/>
      </w:pPr>
      <w:r>
        <w:rPr/>
      </w:r>
    </w:p>
    <w:p>
      <w:pPr>
        <w:pStyle w:val="Normal"/>
        <w:rPr/>
      </w:pPr>
      <w:r>
        <w:rPr/>
        <w:t>See attached.</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r>
    </w:p>
    <w:p>
      <w:pPr>
        <w:pStyle w:val="Normal"/>
        <w:jc w:val="center"/>
        <w:rPr/>
      </w:pPr>
      <w:r>
        <w:rPr/>
        <w:t>PURCHASE AND SALE AGREEMENT</w:t>
      </w:r>
    </w:p>
    <w:p>
      <w:pPr>
        <w:pStyle w:val="Normal"/>
        <w:jc w:val="center"/>
        <w:rPr/>
      </w:pPr>
      <w:r>
        <w:rPr/>
      </w:r>
    </w:p>
    <w:p>
      <w:pPr>
        <w:pStyle w:val="Normal"/>
        <w:jc w:val="center"/>
        <w:rPr/>
      </w:pPr>
      <w:r>
        <w:rPr/>
        <w:t>Schedule 1.1(b)</w:t>
      </w:r>
    </w:p>
    <w:p>
      <w:pPr>
        <w:pStyle w:val="Normal"/>
        <w:jc w:val="center"/>
        <w:rPr/>
      </w:pPr>
      <w:r>
        <w:rPr/>
        <w:t>Company Subsidiaries</w:t>
      </w:r>
    </w:p>
    <w:p>
      <w:pPr>
        <w:pStyle w:val="Normal"/>
        <w:jc w:val="center"/>
        <w:rPr/>
      </w:pPr>
      <w:r>
        <w:rPr/>
      </w:r>
    </w:p>
    <w:p>
      <w:pPr>
        <w:pStyle w:val="Normal"/>
        <w:jc w:val="center"/>
        <w:rPr/>
      </w:pPr>
      <w:r>
        <w:rPr/>
      </w:r>
    </w:p>
    <w:p>
      <w:pPr>
        <w:pStyle w:val="Normal"/>
        <w:rPr/>
      </w:pPr>
      <w:r>
        <w:rPr/>
        <w:t>The following is a list of the subsidiaries of Houston Pipe Line Company (“HPL”) that will remain as of the Closing Date:</w:t>
      </w:r>
    </w:p>
    <w:p>
      <w:pPr>
        <w:pStyle w:val="Normal"/>
        <w:rPr/>
      </w:pPr>
      <w:r>
        <w:rPr/>
      </w:r>
    </w:p>
    <w:p>
      <w:pPr>
        <w:pStyle w:val="Normal"/>
        <w:rPr/>
      </w:pPr>
      <w:r>
        <w:rPr/>
        <w:t>HPL Resources Company</w:t>
      </w:r>
    </w:p>
    <w:p>
      <w:pPr>
        <w:pStyle w:val="Normal"/>
        <w:rPr/>
      </w:pPr>
      <w:r>
        <w:rPr/>
        <w:t>MidTexas Pipeline Company</w:t>
      </w:r>
    </w:p>
    <w:p>
      <w:pPr>
        <w:pStyle w:val="Normal"/>
        <w:rPr/>
      </w:pPr>
      <w:r>
        <w:rPr/>
      </w:r>
    </w:p>
    <w:p>
      <w:pPr>
        <w:pStyle w:val="Normal"/>
        <w:rPr/>
      </w:pPr>
      <w:r>
        <w:rPr/>
        <w:t>Lodisco, LLC will have no subsidiaries.</w:t>
      </w:r>
      <w:r>
        <w:br w:type="page"/>
      </w:r>
    </w:p>
    <w:p>
      <w:pPr>
        <w:pStyle w:val="Normal"/>
        <w:jc w:val="center"/>
        <w:rPr/>
      </w:pPr>
      <w:r>
        <w:rPr/>
        <w:t>PURCHASE AND SALE AGREEMENT</w:t>
      </w:r>
    </w:p>
    <w:p>
      <w:pPr>
        <w:pStyle w:val="Normal"/>
        <w:jc w:val="center"/>
        <w:rPr/>
      </w:pPr>
      <w:r>
        <w:rPr/>
      </w:r>
    </w:p>
    <w:p>
      <w:pPr>
        <w:pStyle w:val="Normal"/>
        <w:jc w:val="center"/>
        <w:rPr/>
      </w:pPr>
      <w:r>
        <w:rPr/>
        <w:t>Schedule 1.1(c)</w:t>
      </w:r>
    </w:p>
    <w:p>
      <w:pPr>
        <w:pStyle w:val="Normal"/>
        <w:jc w:val="center"/>
        <w:rPr/>
      </w:pPr>
      <w:r>
        <w:rPr/>
        <w:t>Counterparties</w:t>
      </w:r>
    </w:p>
    <w:p>
      <w:pPr>
        <w:pStyle w:val="Normal"/>
        <w:jc w:val="center"/>
        <w:rPr>
          <w:b/>
          <w:bCs/>
        </w:rPr>
      </w:pPr>
      <w:r>
        <w:rPr>
          <w:b/>
          <w:bCs/>
        </w:rPr>
      </w:r>
    </w:p>
    <w:p>
      <w:pPr>
        <w:pStyle w:val="Normal"/>
        <w:jc w:val="center"/>
        <w:rPr>
          <w:b/>
          <w:bCs/>
        </w:rPr>
      </w:pPr>
      <w:r>
        <w:rPr>
          <w:b/>
          <w:bCs/>
        </w:rPr>
      </w:r>
    </w:p>
    <w:p>
      <w:pPr>
        <w:pStyle w:val="Normal"/>
        <w:rPr/>
      </w:pPr>
      <w:r>
        <w:rPr/>
        <w:t>HPL Asset Holdings L.P.</w:t>
      </w:r>
    </w:p>
    <w:p>
      <w:pPr>
        <w:pStyle w:val="Normal"/>
        <w:rPr/>
      </w:pPr>
      <w:r>
        <w:rPr/>
        <w:t>Bammel Gas Trust</w:t>
      </w:r>
    </w:p>
    <w:p>
      <w:pPr>
        <w:pStyle w:val="Normal"/>
        <w:rPr/>
      </w:pPr>
      <w:r>
        <w:rPr/>
        <w:t>The Bank of New York, as Trustee</w:t>
      </w:r>
    </w:p>
    <w:p>
      <w:pPr>
        <w:pStyle w:val="Normal"/>
        <w:rPr/>
      </w:pPr>
      <w:r>
        <w:rPr/>
        <w:t>BAM Lease Company</w:t>
      </w:r>
    </w:p>
    <w:p>
      <w:pPr>
        <w:pStyle w:val="Normal"/>
        <w:rPr/>
      </w:pPr>
      <w:r>
        <w:rPr/>
        <w:t>Bank of America, N.A.</w:t>
      </w:r>
    </w:p>
    <w:p>
      <w:pPr>
        <w:pStyle w:val="Normal"/>
        <w:rPr/>
      </w:pPr>
      <w:r>
        <w:rPr/>
        <w:t>Enron North American Corp.</w:t>
      </w:r>
    </w:p>
    <w:p>
      <w:pPr>
        <w:pStyle w:val="Normal"/>
        <w:rPr/>
      </w:pPr>
      <w:r>
        <w:rPr/>
        <w:t>HPL Resources Company</w:t>
      </w:r>
    </w:p>
    <w:p>
      <w:pPr>
        <w:pStyle w:val="Normal"/>
        <w:rPr/>
      </w:pPr>
      <w:r>
        <w:rPr/>
        <w:t>Enron Corp.</w:t>
      </w:r>
    </w:p>
    <w:p>
      <w:pPr>
        <w:pStyle w:val="Normal"/>
        <w:rPr/>
      </w:pPr>
      <w:r>
        <w:rPr/>
        <w:t>Houston Pipe Line Company</w:t>
      </w:r>
      <w:r>
        <w:br w:type="page"/>
      </w:r>
    </w:p>
    <w:p>
      <w:pPr>
        <w:pStyle w:val="Normal"/>
        <w:jc w:val="center"/>
        <w:rPr/>
      </w:pPr>
      <w:r>
        <w:rPr/>
        <w:t>PURCHASE AND SALE AGREEMENT</w:t>
      </w:r>
    </w:p>
    <w:p>
      <w:pPr>
        <w:pStyle w:val="Normal"/>
        <w:jc w:val="center"/>
        <w:rPr/>
      </w:pPr>
      <w:r>
        <w:rPr/>
      </w:r>
    </w:p>
    <w:p>
      <w:pPr>
        <w:pStyle w:val="Normal"/>
        <w:jc w:val="center"/>
        <w:rPr/>
      </w:pPr>
      <w:r>
        <w:rPr/>
        <w:t>Schedule 1.1(d)</w:t>
      </w:r>
    </w:p>
    <w:p>
      <w:pPr>
        <w:pStyle w:val="Normal"/>
        <w:jc w:val="center"/>
        <w:rPr/>
      </w:pPr>
      <w:r>
        <w:rPr/>
        <w:t>Seller's Knowledge</w:t>
      </w:r>
    </w:p>
    <w:p>
      <w:pPr>
        <w:pStyle w:val="Normal"/>
        <w:jc w:val="center"/>
        <w:rPr/>
      </w:pPr>
      <w:r>
        <w:rPr/>
      </w:r>
    </w:p>
    <w:p>
      <w:pPr>
        <w:pStyle w:val="Normal"/>
        <w:rPr/>
      </w:pPr>
      <w:r>
        <w:rPr/>
        <w:t>Brian Redmond</w:t>
      </w:r>
    </w:p>
    <w:p>
      <w:pPr>
        <w:pStyle w:val="Normal"/>
        <w:rPr/>
      </w:pPr>
      <w:r>
        <w:rPr/>
        <w:t>Steve Schneider</w:t>
      </w:r>
    </w:p>
    <w:p>
      <w:pPr>
        <w:pStyle w:val="Normal"/>
        <w:rPr/>
      </w:pPr>
      <w:r>
        <w:rPr/>
        <w:t>Wes Colwell</w:t>
      </w:r>
    </w:p>
    <w:p>
      <w:pPr>
        <w:pStyle w:val="Normal"/>
        <w:rPr/>
      </w:pPr>
      <w:r>
        <w:rPr/>
        <w:t>Tom Martin</w:t>
      </w:r>
    </w:p>
    <w:p>
      <w:pPr>
        <w:pStyle w:val="Normal"/>
        <w:rPr/>
      </w:pPr>
      <w:r>
        <w:rPr/>
        <w:t>Jim Ducote</w:t>
      </w:r>
    </w:p>
    <w:p>
      <w:pPr>
        <w:pStyle w:val="Normal"/>
        <w:rPr/>
      </w:pPr>
      <w:r>
        <w:rPr/>
        <w:t>Jill Zivley</w:t>
      </w:r>
    </w:p>
    <w:p>
      <w:pPr>
        <w:pStyle w:val="Normal"/>
        <w:rPr/>
      </w:pPr>
      <w:r>
        <w:rPr/>
        <w:t>Barbara Gray</w:t>
      </w:r>
    </w:p>
    <w:p>
      <w:pPr>
        <w:pStyle w:val="Normal"/>
        <w:rPr/>
      </w:pPr>
      <w:r>
        <w:rPr/>
        <w:t>Jim Schwieger</w:t>
      </w:r>
    </w:p>
    <w:p>
      <w:pPr>
        <w:pStyle w:val="Normal"/>
        <w:rPr/>
      </w:pPr>
      <w:r>
        <w:rPr/>
        <w:t>Ed Gottlob</w:t>
      </w:r>
    </w:p>
    <w:p>
      <w:pPr>
        <w:pStyle w:val="Normal"/>
        <w:rPr/>
      </w:pPr>
      <w:r>
        <w:rPr/>
        <w:t>James McKay</w:t>
      </w:r>
    </w:p>
    <w:p>
      <w:pPr>
        <w:pStyle w:val="Normal"/>
        <w:rPr/>
      </w:pPr>
      <w:r>
        <w:rPr/>
        <w:t>Charlie Thompson</w:t>
      </w:r>
    </w:p>
    <w:p>
      <w:pPr>
        <w:pStyle w:val="Normal"/>
        <w:rPr/>
      </w:pPr>
      <w:r>
        <w:rPr/>
        <w:t>Nick Cocavessis</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1.1(e)</w:t>
      </w:r>
    </w:p>
    <w:p>
      <w:pPr>
        <w:pStyle w:val="Normal"/>
        <w:jc w:val="center"/>
        <w:rPr/>
      </w:pPr>
      <w:r>
        <w:rPr/>
        <w:t>Buyer’s Knowledge</w:t>
      </w:r>
    </w:p>
    <w:p>
      <w:pPr>
        <w:pStyle w:val="Normal"/>
        <w:jc w:val="center"/>
        <w:rPr/>
      </w:pPr>
      <w:r>
        <w:rPr/>
      </w:r>
    </w:p>
    <w:p>
      <w:pPr>
        <w:pStyle w:val="Normal"/>
        <w:jc w:val="both"/>
        <w:rPr/>
      </w:pPr>
      <w:r>
        <w:rPr/>
      </w:r>
    </w:p>
    <w:p>
      <w:pPr>
        <w:pStyle w:val="Normal"/>
        <w:jc w:val="both"/>
        <w:rPr/>
      </w:pPr>
      <w:r>
        <w:rPr/>
        <w:t>Dwayne Hart</w:t>
      </w:r>
    </w:p>
    <w:p>
      <w:pPr>
        <w:pStyle w:val="Normal"/>
        <w:jc w:val="both"/>
        <w:rPr/>
      </w:pPr>
      <w:r>
        <w:rPr/>
        <w:t>Doug Penrod</w:t>
      </w:r>
    </w:p>
    <w:p>
      <w:pPr>
        <w:pStyle w:val="Normal"/>
        <w:jc w:val="both"/>
        <w:rPr/>
      </w:pPr>
      <w:r>
        <w:rPr/>
        <w:t>Gary Prescott</w:t>
      </w:r>
      <w:r>
        <w:br w:type="page"/>
      </w:r>
    </w:p>
    <w:p>
      <w:pPr>
        <w:pStyle w:val="Normal"/>
        <w:jc w:val="center"/>
        <w:rPr/>
      </w:pPr>
      <w:r>
        <w:rPr/>
        <w:t>PURCHASE AND SALE AGREEMENT</w:t>
      </w:r>
    </w:p>
    <w:p>
      <w:pPr>
        <w:pStyle w:val="Normal"/>
        <w:jc w:val="center"/>
        <w:rPr/>
      </w:pPr>
      <w:r>
        <w:rPr/>
      </w:r>
    </w:p>
    <w:p>
      <w:pPr>
        <w:pStyle w:val="Normal"/>
        <w:jc w:val="center"/>
        <w:rPr/>
      </w:pPr>
      <w:r>
        <w:rPr/>
        <w:t>Schedule 2.4(e)</w:t>
      </w:r>
    </w:p>
    <w:p>
      <w:pPr>
        <w:pStyle w:val="Normal"/>
        <w:jc w:val="center"/>
        <w:rPr/>
      </w:pPr>
      <w:r>
        <w:rPr/>
        <w:t>Calculation of Working Capital</w:t>
      </w:r>
    </w:p>
    <w:p>
      <w:pPr>
        <w:pStyle w:val="Normal"/>
        <w:jc w:val="center"/>
        <w:rPr/>
      </w:pPr>
      <w:r>
        <w:rPr/>
      </w:r>
    </w:p>
    <w:p>
      <w:pPr>
        <w:pStyle w:val="Normal"/>
        <w:jc w:val="center"/>
        <w:rPr/>
      </w:pPr>
      <w:r>
        <w:rPr/>
      </w:r>
    </w:p>
    <w:p>
      <w:pPr>
        <w:pStyle w:val="Normal"/>
        <w:ind w:firstLine="720" w:end="0"/>
        <w:jc w:val="both"/>
        <w:rPr/>
      </w:pPr>
      <w:r>
        <w:rPr/>
        <w:t>Working Capital for purposes of the Working Capital Calculation Statement shall be comprised only of prepayments, which shall be determined using the same procedures as used in the preparation of the Balance Sheet dated July 31, 2000 that is attached as Schedule 4.7(a) to the Agreement.</w:t>
      </w:r>
    </w:p>
    <w:p>
      <w:pPr>
        <w:pStyle w:val="Normal"/>
        <w:ind w:firstLine="720" w:end="0"/>
        <w:jc w:val="both"/>
        <w:rPr/>
      </w:pPr>
      <w:r>
        <w:rPr/>
      </w:r>
    </w:p>
    <w:p>
      <w:pPr>
        <w:pStyle w:val="Normal"/>
        <w:ind w:firstLine="720" w:end="0"/>
        <w:jc w:val="both"/>
        <w:rPr/>
      </w:pPr>
      <w:r>
        <w:rPr/>
      </w:r>
    </w:p>
    <w:p>
      <w:pPr>
        <w:pStyle w:val="Normal"/>
        <w:jc w:val="center"/>
        <w:rPr/>
      </w:pPr>
      <w:r>
        <w:rPr/>
        <w:t>Example calculation of Working Capital as of July 31, 2000:</w:t>
      </w:r>
    </w:p>
    <w:p>
      <w:pPr>
        <w:pStyle w:val="Normal"/>
        <w:jc w:val="center"/>
        <w:rPr/>
      </w:pPr>
      <w:r>
        <w:rPr/>
      </w:r>
    </w:p>
    <w:p>
      <w:pPr>
        <w:pStyle w:val="Normal"/>
        <w:jc w:val="center"/>
        <w:rPr/>
      </w:pPr>
      <w:r>
        <w:rPr/>
        <w:t>Working Capital = Deferred Prepayments of $872,000</w:t>
      </w:r>
      <w:r>
        <w:br w:type="page"/>
      </w:r>
    </w:p>
    <w:p>
      <w:pPr>
        <w:pStyle w:val="Normal"/>
        <w:jc w:val="center"/>
        <w:rPr/>
      </w:pPr>
      <w:r>
        <w:rPr/>
        <w:t>PURCHASE AND SALE AGREEMENT</w:t>
      </w:r>
    </w:p>
    <w:p>
      <w:pPr>
        <w:pStyle w:val="Normal"/>
        <w:jc w:val="center"/>
        <w:rPr/>
      </w:pPr>
      <w:r>
        <w:rPr/>
      </w:r>
    </w:p>
    <w:p>
      <w:pPr>
        <w:pStyle w:val="Normal"/>
        <w:jc w:val="center"/>
        <w:rPr/>
      </w:pPr>
      <w:r>
        <w:rPr/>
        <w:t>Schedule 2.5(a)</w:t>
      </w:r>
    </w:p>
    <w:p>
      <w:pPr>
        <w:pStyle w:val="Normal"/>
        <w:jc w:val="center"/>
        <w:rPr/>
      </w:pPr>
      <w:r>
        <w:rPr/>
        <w:t>Inventory Calculation</w:t>
      </w:r>
    </w:p>
    <w:p>
      <w:pPr>
        <w:pStyle w:val="Normal"/>
        <w:jc w:val="center"/>
        <w:rPr/>
      </w:pPr>
      <w:r>
        <w:rPr/>
      </w:r>
    </w:p>
    <w:p>
      <w:pPr>
        <w:pStyle w:val="Normal"/>
        <w:jc w:val="center"/>
        <w:rPr/>
      </w:pPr>
      <w:r>
        <w:rPr/>
      </w:r>
    </w:p>
    <w:p>
      <w:pPr>
        <w:pStyle w:val="Normal"/>
        <w:rPr/>
      </w:pPr>
      <w:r>
        <w:rPr/>
        <w:tab/>
        <w:t>The quantity of Inventory at the Effective Date shall be determined from the books and records of the Acquired Companies or pursuant to any other method of physical accounting as may be mutually agreed upon by the Parties.</w:t>
      </w:r>
    </w:p>
    <w:p>
      <w:pPr>
        <w:pStyle w:val="Normal"/>
        <w:rPr/>
      </w:pPr>
      <w:r>
        <w:rPr/>
      </w:r>
    </w:p>
    <w:p>
      <w:pPr>
        <w:pStyle w:val="Normal"/>
        <w:rPr/>
      </w:pPr>
      <w:r>
        <w:rPr/>
        <w:tab/>
        <w:t>The applicable pricing for valuation of the Inventory shall be as follows:</w:t>
      </w:r>
    </w:p>
    <w:p>
      <w:pPr>
        <w:pStyle w:val="Normal"/>
        <w:rPr/>
      </w:pPr>
      <w:r>
        <w:rPr/>
      </w:r>
    </w:p>
    <w:tbl>
      <w:tblPr>
        <w:tblW w:w="8460" w:type="dxa"/>
        <w:jc w:val="start"/>
        <w:tblInd w:w="828" w:type="dxa"/>
        <w:tblLayout w:type="fixed"/>
        <w:tblCellMar>
          <w:top w:w="0" w:type="dxa"/>
          <w:start w:w="108" w:type="dxa"/>
          <w:bottom w:w="0" w:type="dxa"/>
          <w:end w:w="108" w:type="dxa"/>
        </w:tblCellMar>
      </w:tblPr>
      <w:tblGrid>
        <w:gridCol w:w="3240"/>
        <w:gridCol w:w="5220"/>
      </w:tblGrid>
      <w:tr>
        <w:trPr/>
        <w:tc>
          <w:tcPr>
            <w:tcW w:w="3240" w:type="dxa"/>
            <w:tcBorders/>
          </w:tcPr>
          <w:p>
            <w:pPr>
              <w:pStyle w:val="Normal"/>
              <w:jc w:val="center"/>
              <w:rPr>
                <w:b/>
              </w:rPr>
            </w:pPr>
            <w:r>
              <w:rPr>
                <w:b/>
              </w:rPr>
              <w:t>Type of Inventory</w:t>
            </w:r>
          </w:p>
        </w:tc>
        <w:tc>
          <w:tcPr>
            <w:tcW w:w="5220" w:type="dxa"/>
            <w:tcBorders/>
          </w:tcPr>
          <w:p>
            <w:pPr>
              <w:pStyle w:val="Normal"/>
              <w:jc w:val="center"/>
              <w:rPr>
                <w:b/>
              </w:rPr>
            </w:pPr>
            <w:r>
              <w:rPr>
                <w:b/>
              </w:rPr>
              <w:t>Pricing</w:t>
            </w:r>
          </w:p>
        </w:tc>
      </w:tr>
      <w:tr>
        <w:trPr/>
        <w:tc>
          <w:tcPr>
            <w:tcW w:w="3240" w:type="dxa"/>
            <w:tcBorders/>
          </w:tcPr>
          <w:p>
            <w:pPr>
              <w:pStyle w:val="Normal"/>
              <w:snapToGrid w:val="false"/>
              <w:jc w:val="center"/>
              <w:rPr>
                <w:b/>
              </w:rPr>
            </w:pPr>
            <w:r>
              <w:rPr>
                <w:b/>
              </w:rPr>
            </w:r>
          </w:p>
        </w:tc>
        <w:tc>
          <w:tcPr>
            <w:tcW w:w="5220" w:type="dxa"/>
            <w:tcBorders/>
          </w:tcPr>
          <w:p>
            <w:pPr>
              <w:pStyle w:val="Normal"/>
              <w:snapToGrid w:val="false"/>
              <w:jc w:val="center"/>
              <w:rPr>
                <w:b/>
              </w:rPr>
            </w:pPr>
            <w:r>
              <w:rPr>
                <w:b/>
              </w:rPr>
            </w:r>
          </w:p>
        </w:tc>
      </w:tr>
      <w:tr>
        <w:trPr/>
        <w:tc>
          <w:tcPr>
            <w:tcW w:w="3240" w:type="dxa"/>
            <w:tcBorders/>
          </w:tcPr>
          <w:p>
            <w:pPr>
              <w:pStyle w:val="Normal"/>
              <w:snapToGrid w:val="false"/>
              <w:rPr>
                <w:b/>
              </w:rPr>
            </w:pPr>
            <w:r>
              <w:rPr>
                <w:b/>
              </w:rPr>
            </w:r>
          </w:p>
        </w:tc>
        <w:tc>
          <w:tcPr>
            <w:tcW w:w="5220" w:type="dxa"/>
            <w:tcBorders/>
          </w:tcPr>
          <w:p>
            <w:pPr>
              <w:pStyle w:val="Normal"/>
              <w:snapToGrid w:val="false"/>
              <w:rPr/>
            </w:pPr>
            <w:r>
              <w:rPr/>
            </w:r>
          </w:p>
        </w:tc>
      </w:tr>
      <w:tr>
        <w:trPr/>
        <w:tc>
          <w:tcPr>
            <w:tcW w:w="3240" w:type="dxa"/>
            <w:tcBorders/>
          </w:tcPr>
          <w:p>
            <w:pPr>
              <w:pStyle w:val="Normal"/>
              <w:rPr/>
            </w:pPr>
            <w:r>
              <w:rPr/>
              <w:t>Liquids Inventory</w:t>
            </w:r>
          </w:p>
        </w:tc>
        <w:tc>
          <w:tcPr>
            <w:tcW w:w="5220" w:type="dxa"/>
            <w:tcBorders/>
          </w:tcPr>
          <w:p>
            <w:pPr>
              <w:pStyle w:val="Normal"/>
              <w:rPr/>
            </w:pPr>
            <w:r>
              <w:rPr/>
              <w:t>At the Acquired Companies’ cost as reflected on the books and records of the Acquired Companies.</w:t>
            </w:r>
          </w:p>
          <w:p>
            <w:pPr>
              <w:pStyle w:val="Normal"/>
              <w:rPr/>
            </w:pPr>
            <w:r>
              <w:rPr/>
            </w:r>
          </w:p>
        </w:tc>
      </w:tr>
      <w:tr>
        <w:trPr/>
        <w:tc>
          <w:tcPr>
            <w:tcW w:w="3240" w:type="dxa"/>
            <w:tcBorders/>
          </w:tcPr>
          <w:p>
            <w:pPr>
              <w:pStyle w:val="Normal"/>
              <w:snapToGrid w:val="false"/>
              <w:rPr/>
            </w:pPr>
            <w:r>
              <w:rPr/>
            </w:r>
          </w:p>
        </w:tc>
        <w:tc>
          <w:tcPr>
            <w:tcW w:w="5220" w:type="dxa"/>
            <w:tcBorders/>
          </w:tcPr>
          <w:p>
            <w:pPr>
              <w:pStyle w:val="Normal"/>
              <w:snapToGrid w:val="false"/>
              <w:rPr/>
            </w:pPr>
            <w:r>
              <w:rPr/>
            </w:r>
          </w:p>
        </w:tc>
      </w:tr>
      <w:tr>
        <w:trPr/>
        <w:tc>
          <w:tcPr>
            <w:tcW w:w="3240" w:type="dxa"/>
            <w:tcBorders/>
          </w:tcPr>
          <w:p>
            <w:pPr>
              <w:pStyle w:val="Normal"/>
              <w:rPr/>
            </w:pPr>
            <w:r>
              <w:rPr/>
              <w:t>Working Gas</w:t>
            </w:r>
          </w:p>
        </w:tc>
        <w:tc>
          <w:tcPr>
            <w:tcW w:w="5220" w:type="dxa"/>
            <w:tcBorders/>
          </w:tcPr>
          <w:p>
            <w:pPr>
              <w:pStyle w:val="Normal"/>
              <w:rPr/>
            </w:pPr>
            <w:r>
              <w:rPr/>
              <w:t>The Published Price in Inside FERC (Houston Ship Channel) for the month of July, 2001.</w:t>
            </w:r>
          </w:p>
        </w:tc>
      </w:tr>
    </w:tbl>
    <w:p>
      <w:pPr>
        <w:pStyle w:val="Normal"/>
        <w:rPr/>
      </w:pPr>
      <w:r>
        <w:rPr/>
      </w:r>
    </w:p>
    <w:p>
      <w:pPr>
        <w:pStyle w:val="Normal"/>
        <w:rPr/>
      </w:pPr>
      <w:r>
        <w:rPr/>
      </w:r>
    </w:p>
    <w:p>
      <w:pPr>
        <w:pStyle w:val="Normal"/>
        <w:jc w:val="center"/>
        <w:rPr/>
      </w:pPr>
      <w:r>
        <w:rPr/>
        <w:t>Example calculation of Inventory as of July 31, 2000:</w:t>
      </w:r>
    </w:p>
    <w:p>
      <w:pPr>
        <w:pStyle w:val="Normal"/>
        <w:jc w:val="center"/>
        <w:rPr/>
      </w:pPr>
      <w:r>
        <w:rPr/>
      </w:r>
    </w:p>
    <w:p>
      <w:pPr>
        <w:pStyle w:val="Normal"/>
        <w:tabs>
          <w:tab w:val="clear" w:pos="720"/>
          <w:tab w:val="left" w:pos="450" w:leader="none"/>
          <w:tab w:val="left" w:pos="1440" w:leader="none"/>
          <w:tab w:val="left" w:pos="1710" w:leader="none"/>
          <w:tab w:val="left" w:pos="3240" w:leader="none"/>
        </w:tabs>
        <w:jc w:val="both"/>
        <w:rPr/>
      </w:pPr>
      <w:r>
        <w:rPr/>
        <w:tab/>
        <w:t>Inventory</w:t>
        <w:tab/>
        <w:t>=</w:t>
        <w:tab/>
        <w:t>[Volume of Working Gas x Market Price *] plus Book Value of Liquids Inventory</w:t>
      </w:r>
    </w:p>
    <w:p>
      <w:pPr>
        <w:pStyle w:val="Normal"/>
        <w:tabs>
          <w:tab w:val="clear" w:pos="720"/>
          <w:tab w:val="left" w:pos="450" w:leader="none"/>
          <w:tab w:val="left" w:pos="1440" w:leader="none"/>
          <w:tab w:val="left" w:pos="1710" w:leader="none"/>
          <w:tab w:val="left" w:pos="3240" w:leader="none"/>
        </w:tabs>
        <w:jc w:val="both"/>
        <w:rPr/>
      </w:pPr>
      <w:r>
        <w:rPr/>
        <w:tab/>
        <w:tab/>
        <w:t>=</w:t>
        <w:tab/>
        <w:t>[52 Bcf x $5.22375 per MMbtu] plus $6,000</w:t>
      </w:r>
    </w:p>
    <w:p>
      <w:pPr>
        <w:pStyle w:val="Normal"/>
        <w:tabs>
          <w:tab w:val="clear" w:pos="720"/>
          <w:tab w:val="left" w:pos="450" w:leader="none"/>
          <w:tab w:val="left" w:pos="1440" w:leader="none"/>
          <w:tab w:val="left" w:pos="1710" w:leader="none"/>
          <w:tab w:val="left" w:pos="3240" w:leader="none"/>
        </w:tabs>
        <w:jc w:val="both"/>
        <w:rPr/>
      </w:pPr>
      <w:r>
        <w:rPr/>
        <w:tab/>
        <w:tab/>
        <w:t>=</w:t>
        <w:tab/>
        <w:t>$271,635,000 plus $6,000 = $271,641,000</w:t>
      </w:r>
    </w:p>
    <w:p>
      <w:pPr>
        <w:pStyle w:val="Normal"/>
        <w:tabs>
          <w:tab w:val="clear" w:pos="720"/>
          <w:tab w:val="left" w:pos="450" w:leader="none"/>
          <w:tab w:val="left" w:pos="1440" w:leader="none"/>
          <w:tab w:val="left" w:pos="1710" w:leader="none"/>
          <w:tab w:val="left" w:pos="3240" w:leader="none"/>
        </w:tabs>
        <w:jc w:val="both"/>
        <w:rPr/>
      </w:pPr>
      <w:r>
        <w:rPr/>
      </w:r>
    </w:p>
    <w:p>
      <w:pPr>
        <w:pStyle w:val="Normal"/>
        <w:tabs>
          <w:tab w:val="clear" w:pos="720"/>
          <w:tab w:val="left" w:pos="450" w:leader="none"/>
          <w:tab w:val="left" w:pos="1440" w:leader="none"/>
          <w:tab w:val="left" w:pos="1710" w:leader="none"/>
          <w:tab w:val="left" w:pos="3240" w:leader="none"/>
        </w:tabs>
        <w:jc w:val="both"/>
        <w:rPr/>
      </w:pPr>
      <w:r>
        <w:rPr/>
      </w:r>
    </w:p>
    <w:p>
      <w:pPr>
        <w:pStyle w:val="Normal"/>
        <w:tabs>
          <w:tab w:val="clear" w:pos="720"/>
          <w:tab w:val="left" w:pos="450" w:leader="none"/>
          <w:tab w:val="left" w:pos="1440" w:leader="none"/>
          <w:tab w:val="left" w:pos="1710" w:leader="none"/>
          <w:tab w:val="left" w:pos="3240" w:leader="none"/>
        </w:tabs>
        <w:jc w:val="both"/>
        <w:rPr/>
      </w:pPr>
      <w:r>
        <w:rPr/>
        <w:t>*Houston Ship Channel Price as of September 13, 2000</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4.2(a)</w:t>
      </w:r>
    </w:p>
    <w:p>
      <w:pPr>
        <w:pStyle w:val="Normal"/>
        <w:jc w:val="center"/>
        <w:rPr/>
      </w:pPr>
      <w:r>
        <w:rPr/>
        <w:t>List of Acquired Companies</w:t>
      </w:r>
    </w:p>
    <w:p>
      <w:pPr>
        <w:pStyle w:val="Normal"/>
        <w:jc w:val="center"/>
        <w:rPr/>
      </w:pPr>
      <w:r>
        <w:rPr/>
      </w:r>
    </w:p>
    <w:p>
      <w:pPr>
        <w:pStyle w:val="Normal"/>
        <w:jc w:val="center"/>
        <w:rPr/>
      </w:pPr>
      <w:r>
        <w:rPr/>
      </w:r>
    </w:p>
    <w:p>
      <w:pPr>
        <w:pStyle w:val="Header"/>
        <w:tabs>
          <w:tab w:val="clear" w:pos="4680"/>
          <w:tab w:val="left" w:pos="720" w:leader="none"/>
          <w:tab w:val="right" w:pos="9360" w:leader="none"/>
        </w:tabs>
        <w:rPr/>
      </w:pPr>
      <w:r>
        <w:rPr/>
        <w:t>(a)</w:t>
        <w:tab/>
        <w:t>See Part 1 of Schedule 7.8 for a list of HPL subsidiaries and other entities that HPL owns interests in that are Excluded Assets.</w:t>
      </w:r>
    </w:p>
    <w:p>
      <w:pPr>
        <w:pStyle w:val="Header"/>
        <w:rPr/>
      </w:pPr>
      <w:r>
        <w:rPr/>
      </w:r>
    </w:p>
    <w:p>
      <w:pPr>
        <w:pStyle w:val="Normal"/>
        <w:rPr/>
      </w:pPr>
      <w:r>
        <w:rPr/>
        <w:tab/>
        <w:t>The following is a list of the Acquired Companies:</w:t>
      </w:r>
    </w:p>
    <w:p>
      <w:pPr>
        <w:pStyle w:val="Normal"/>
        <w:rPr/>
      </w:pPr>
      <w:r>
        <w:rPr/>
      </w:r>
    </w:p>
    <w:p>
      <w:pPr>
        <w:pStyle w:val="Normal"/>
        <w:ind w:firstLine="720" w:end="0"/>
        <w:rPr/>
      </w:pPr>
      <w:r>
        <w:rPr/>
        <w:t>HPL,</w:t>
      </w:r>
    </w:p>
    <w:p>
      <w:pPr>
        <w:pStyle w:val="Normal"/>
        <w:ind w:firstLine="720" w:end="0"/>
        <w:rPr/>
      </w:pPr>
      <w:r>
        <w:rPr/>
        <w:t xml:space="preserve">a Delaware corporation, </w:t>
      </w:r>
    </w:p>
    <w:p>
      <w:pPr>
        <w:pStyle w:val="Normal"/>
        <w:rPr/>
      </w:pPr>
      <w:r>
        <w:rPr/>
        <w:tab/>
        <w:t>10,000 shares authorized;</w:t>
      </w:r>
    </w:p>
    <w:p>
      <w:pPr>
        <w:pStyle w:val="Normal"/>
        <w:rPr/>
      </w:pPr>
      <w:r>
        <w:rPr/>
        <w:tab/>
        <w:t>1,000 shares issued to Enron Corp.</w:t>
      </w:r>
    </w:p>
    <w:p>
      <w:pPr>
        <w:pStyle w:val="Normal"/>
        <w:rPr/>
      </w:pPr>
      <w:r>
        <w:rPr/>
        <w:tab/>
      </w:r>
    </w:p>
    <w:p>
      <w:pPr>
        <w:pStyle w:val="Normal"/>
        <w:ind w:firstLine="720" w:end="0"/>
        <w:rPr/>
      </w:pPr>
      <w:r>
        <w:rPr/>
        <w:t>HPL Resources Company,</w:t>
      </w:r>
    </w:p>
    <w:p>
      <w:pPr>
        <w:pStyle w:val="Normal"/>
        <w:ind w:firstLine="720" w:end="0"/>
        <w:rPr/>
      </w:pPr>
      <w:r>
        <w:rPr/>
        <w:t xml:space="preserve">a Delaware corporation, </w:t>
      </w:r>
    </w:p>
    <w:p>
      <w:pPr>
        <w:pStyle w:val="Normal"/>
        <w:ind w:firstLine="720" w:end="0"/>
        <w:rPr/>
      </w:pPr>
      <w:r>
        <w:rPr/>
        <w:t>10,000 shares authorized; 1,000 shares issued to HPL</w:t>
      </w:r>
    </w:p>
    <w:p>
      <w:pPr>
        <w:pStyle w:val="Normal"/>
        <w:rPr/>
      </w:pPr>
      <w:r>
        <w:rPr/>
        <w:tab/>
      </w:r>
    </w:p>
    <w:p>
      <w:pPr>
        <w:pStyle w:val="Normal"/>
        <w:ind w:firstLine="720" w:end="0"/>
        <w:rPr/>
      </w:pPr>
      <w:r>
        <w:rPr/>
        <w:t>MidTexas Pipeline Company,</w:t>
      </w:r>
    </w:p>
    <w:p>
      <w:pPr>
        <w:pStyle w:val="Normal"/>
        <w:rPr/>
      </w:pPr>
      <w:r>
        <w:rPr/>
        <w:tab/>
        <w:t>a general partnership,</w:t>
      </w:r>
    </w:p>
    <w:p>
      <w:pPr>
        <w:pStyle w:val="Normal"/>
        <w:rPr/>
      </w:pPr>
      <w:r>
        <w:rPr/>
        <w:tab/>
        <w:t>50% owned by HPL, as the managing general partner</w:t>
      </w:r>
    </w:p>
    <w:p>
      <w:pPr>
        <w:pStyle w:val="Normal"/>
        <w:rPr/>
      </w:pPr>
      <w:r>
        <w:rPr/>
        <w:tab/>
        <w:t>50% owned by Teco Pipeline Company, as a general partner</w:t>
      </w:r>
    </w:p>
    <w:p>
      <w:pPr>
        <w:pStyle w:val="Normal"/>
        <w:rPr/>
      </w:pPr>
      <w:r>
        <w:rPr/>
      </w:r>
    </w:p>
    <w:p>
      <w:pPr>
        <w:pStyle w:val="Normal"/>
        <w:ind w:firstLine="720" w:end="0"/>
        <w:rPr/>
      </w:pPr>
      <w:r>
        <w:rPr/>
        <w:t>Lodisco, LLC,</w:t>
      </w:r>
    </w:p>
    <w:p>
      <w:pPr>
        <w:pStyle w:val="Normal"/>
        <w:ind w:firstLine="720" w:end="0"/>
        <w:rPr/>
      </w:pPr>
      <w:r>
        <w:rPr/>
        <w:t>a Delaware limited liability company,</w:t>
      </w:r>
    </w:p>
    <w:p>
      <w:pPr>
        <w:pStyle w:val="Normal"/>
        <w:ind w:firstLine="720" w:end="0"/>
        <w:rPr/>
      </w:pPr>
      <w:r>
        <w:rPr/>
        <w:t>Sole Member is Enron Corp.</w:t>
      </w:r>
    </w:p>
    <w:p>
      <w:pPr>
        <w:pStyle w:val="Normal"/>
        <w:rPr/>
      </w:pPr>
      <w:r>
        <w:rPr/>
      </w:r>
    </w:p>
    <w:p>
      <w:pPr>
        <w:pStyle w:val="Normal"/>
        <w:rPr/>
      </w:pPr>
      <w:r>
        <w:rPr/>
      </w:r>
    </w:p>
    <w:p>
      <w:pPr>
        <w:pStyle w:val="Normal"/>
        <w:rPr/>
      </w:pPr>
      <w:r>
        <w:rPr/>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4.2(b)</w:t>
      </w:r>
    </w:p>
    <w:p>
      <w:pPr>
        <w:pStyle w:val="Normal"/>
        <w:jc w:val="center"/>
        <w:rPr/>
      </w:pPr>
      <w:r>
        <w:rPr/>
        <w:t>Qualification</w:t>
      </w:r>
    </w:p>
    <w:p>
      <w:pPr>
        <w:pStyle w:val="Normal"/>
        <w:jc w:val="center"/>
        <w:rPr/>
      </w:pPr>
      <w:r>
        <w:rPr/>
      </w:r>
    </w:p>
    <w:p>
      <w:pPr>
        <w:pStyle w:val="Normal"/>
        <w:jc w:val="center"/>
        <w:rPr/>
      </w:pPr>
      <w:r>
        <w:rPr/>
      </w:r>
    </w:p>
    <w:p>
      <w:pPr>
        <w:pStyle w:val="Normal"/>
        <w:rPr/>
      </w:pPr>
      <w:r>
        <w:rPr/>
        <w:t>HPL – Texas and West Virginia</w:t>
      </w:r>
    </w:p>
    <w:p>
      <w:pPr>
        <w:pStyle w:val="Normal"/>
        <w:rPr/>
      </w:pPr>
      <w:r>
        <w:rPr/>
      </w:r>
    </w:p>
    <w:p>
      <w:pPr>
        <w:pStyle w:val="Normal"/>
        <w:rPr/>
      </w:pPr>
      <w:r>
        <w:rPr/>
        <w:t>HPL Resources Company – Texas</w:t>
      </w:r>
    </w:p>
    <w:p>
      <w:pPr>
        <w:pStyle w:val="Normal"/>
        <w:rPr/>
      </w:pPr>
      <w:r>
        <w:rPr/>
      </w:r>
    </w:p>
    <w:p>
      <w:pPr>
        <w:pStyle w:val="Normal"/>
        <w:rPr/>
      </w:pPr>
      <w:r>
        <w:rPr/>
        <w:t>MidTexas Pipeline Company – N/A</w:t>
      </w:r>
    </w:p>
    <w:p>
      <w:pPr>
        <w:pStyle w:val="Normal"/>
        <w:rPr/>
      </w:pPr>
      <w:r>
        <w:rPr/>
      </w:r>
    </w:p>
    <w:p>
      <w:pPr>
        <w:pStyle w:val="Normal"/>
        <w:rPr/>
      </w:pPr>
      <w:r>
        <w:rPr/>
        <w:t>Lodisco, LLC – Texas</w:t>
      </w:r>
    </w:p>
    <w:p>
      <w:pPr>
        <w:pStyle w:val="Normal"/>
        <w:jc w:val="center"/>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4.5</w:t>
      </w:r>
    </w:p>
    <w:p>
      <w:pPr>
        <w:pStyle w:val="Normal"/>
        <w:jc w:val="center"/>
        <w:rPr/>
      </w:pPr>
      <w:r>
        <w:rPr/>
        <w:t>No Conflict</w:t>
      </w:r>
    </w:p>
    <w:p>
      <w:pPr>
        <w:pStyle w:val="Normal"/>
        <w:jc w:val="center"/>
        <w:rPr/>
      </w:pPr>
      <w:r>
        <w:rPr/>
      </w:r>
    </w:p>
    <w:p>
      <w:pPr>
        <w:pStyle w:val="Normal"/>
        <w:jc w:val="center"/>
        <w:rPr/>
      </w:pPr>
      <w:r>
        <w:rPr/>
      </w:r>
    </w:p>
    <w:p>
      <w:pPr>
        <w:pStyle w:val="Normal"/>
        <w:rPr/>
      </w:pPr>
      <w:r>
        <w:rPr/>
        <w:t>None.</w:t>
      </w:r>
      <w:r>
        <w:br w:type="page"/>
      </w:r>
    </w:p>
    <w:p>
      <w:pPr>
        <w:pStyle w:val="Normal"/>
        <w:jc w:val="center"/>
        <w:rPr/>
      </w:pPr>
      <w:r>
        <w:rPr/>
        <w:t>PURCHASE AND SALE AGREEMENT</w:t>
      </w:r>
    </w:p>
    <w:p>
      <w:pPr>
        <w:pStyle w:val="Normal"/>
        <w:jc w:val="center"/>
        <w:rPr/>
      </w:pPr>
      <w:r>
        <w:rPr/>
      </w:r>
    </w:p>
    <w:p>
      <w:pPr>
        <w:pStyle w:val="Normal"/>
        <w:jc w:val="center"/>
        <w:rPr/>
      </w:pPr>
      <w:r>
        <w:rPr/>
        <w:t>Schedule 4.6</w:t>
      </w:r>
    </w:p>
    <w:p>
      <w:pPr>
        <w:pStyle w:val="Normal"/>
        <w:jc w:val="center"/>
        <w:rPr/>
      </w:pPr>
      <w:r>
        <w:rPr/>
        <w:t>Consents and Approvals - Seller</w:t>
      </w:r>
    </w:p>
    <w:p>
      <w:pPr>
        <w:pStyle w:val="Normal"/>
        <w:jc w:val="center"/>
        <w:rPr/>
      </w:pPr>
      <w:r>
        <w:rPr/>
      </w:r>
    </w:p>
    <w:p>
      <w:pPr>
        <w:pStyle w:val="Normal"/>
        <w:jc w:val="center"/>
        <w:rPr/>
      </w:pPr>
      <w:r>
        <w:rPr/>
      </w:r>
    </w:p>
    <w:p>
      <w:pPr>
        <w:pStyle w:val="Normal"/>
        <w:rPr/>
      </w:pPr>
      <w:r>
        <w:rPr/>
        <w:t>MidTexas* – Consents and approvals of financial institutions and other Persons in order to prepay in full certain notes issued in connection with a financing of MidTexas Pipeline Company.</w:t>
      </w:r>
    </w:p>
    <w:p>
      <w:pPr>
        <w:pStyle w:val="Normal"/>
        <w:rPr/>
      </w:pPr>
      <w:r>
        <w:rPr/>
      </w:r>
    </w:p>
    <w:p>
      <w:pPr>
        <w:pStyle w:val="Normal"/>
        <w:rPr/>
      </w:pPr>
      <w:r>
        <w:rPr/>
        <w:t>Meter Acquisition Company, LP, LLLP; “Project Rock”* – Consents and approvals of financial institutions and other Persons in order to prepay in full notes issued in connection with a financing of certain meters that are used for the operation of the Bammel Storage Facility and other HPL pipelines and to dissolve a partnership that currently holds such meters.</w:t>
      </w:r>
    </w:p>
    <w:p>
      <w:pPr>
        <w:pStyle w:val="Normal"/>
        <w:rPr/>
      </w:pPr>
      <w:r>
        <w:rPr/>
      </w:r>
    </w:p>
    <w:p>
      <w:pPr>
        <w:pStyle w:val="Normal"/>
        <w:rPr/>
      </w:pPr>
      <w:r>
        <w:rPr/>
        <w:t>Bammel Gas Trust* – Consents and approvals of certain financial institutions and other Persons in connection with a partial unwind of a financing of natural gas contained in the Bammel Storage Facility and in connection with the assignment of certain rights and obligations evidenced by various agreements related thereto, including without limitation the Consent and Acknowledgement attached hereto as Exhibit 3.2(j).</w:t>
      </w:r>
    </w:p>
    <w:p>
      <w:pPr>
        <w:pStyle w:val="Normal"/>
        <w:rPr/>
      </w:pPr>
      <w:r>
        <w:rPr/>
      </w:r>
    </w:p>
    <w:p>
      <w:pPr>
        <w:pStyle w:val="Normal"/>
        <w:rPr/>
      </w:pPr>
      <w:r>
        <w:rPr/>
        <w:t>Bammel Looper Financing* – Consents and approvals of certain financial institutions and other Persons in order to modify the terms of a financing of the Bammel Loop and related compression facilities (the “Looper Assets”) so as to either (i) remove all connection to the Looper Assets from such financing or (ii) prepay in full the notes issued in connection with such financing, and to convey the Looper Assets to LeaseCo.</w:t>
      </w:r>
    </w:p>
    <w:p>
      <w:pPr>
        <w:pStyle w:val="Normal"/>
        <w:rPr/>
      </w:pPr>
      <w:r>
        <w:rPr/>
      </w:r>
    </w:p>
    <w:p>
      <w:pPr>
        <w:pStyle w:val="Normal"/>
        <w:rPr/>
      </w:pPr>
      <w:r>
        <w:rPr/>
        <w:t>Notices to various Governmental Entities will likely be required, including a P-5 Notice to the Texas Railroad Commission to reflect the change in equity ownership and in officers and directors of HPL.  Additionally to the extent individuals who are designated as “contact” persons for various emergency responses and general questions are changed post-Closing, notification to the appropriate Governmental Entities will need to be made by the Company.  Similarly, if the name of the Company is changed post-Closing, various additional filings with Governmental Entities reflecting the name change would likely be required and notification of any such name change should be given to all counterparties of the Acquired Companies.</w:t>
      </w:r>
    </w:p>
    <w:p>
      <w:pPr>
        <w:pStyle w:val="Normal"/>
        <w:rPr/>
      </w:pPr>
      <w:r>
        <w:rPr/>
      </w:r>
    </w:p>
    <w:p>
      <w:pPr>
        <w:pStyle w:val="Normal"/>
        <w:ind w:hanging="288" w:start="288" w:end="0"/>
        <w:rPr/>
      </w:pPr>
      <w:r>
        <w:rPr/>
        <w:t>*</w:t>
        <w:tab/>
        <w:t>Seller agrees to amend this paragraph of Schedule 4.6 prior to March 1, 2001, in order to specifically list by name each financial institution and other Person from which consents and approvals are required to be obtained, and the title of each agreement to which such  consent or approval relates.</w:t>
      </w:r>
    </w:p>
    <w:p>
      <w:pPr>
        <w:pStyle w:val="Normal"/>
        <w:rPr/>
      </w:pPr>
      <w:r>
        <w:rPr/>
      </w:r>
    </w:p>
    <w:p>
      <w:pPr>
        <w:pStyle w:val="Header"/>
        <w:tabs>
          <w:tab w:val="clear" w:pos="4680"/>
          <w:tab w:val="clear" w:pos="9360"/>
        </w:tabs>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4.7(a)</w:t>
      </w:r>
    </w:p>
    <w:p>
      <w:pPr>
        <w:pStyle w:val="Normal"/>
        <w:jc w:val="center"/>
        <w:rPr/>
      </w:pPr>
      <w:r>
        <w:rPr/>
        <w:t>Balance Sheet</w:t>
      </w:r>
    </w:p>
    <w:p>
      <w:pPr>
        <w:pStyle w:val="Normal"/>
        <w:jc w:val="center"/>
        <w:rPr/>
      </w:pPr>
      <w:r>
        <w:rPr/>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1080" w:leader="none"/>
        </w:tabs>
        <w:ind w:start="360" w:end="0"/>
        <w:rPr/>
      </w:pPr>
      <w:r>
        <w:rPr/>
        <w:t>See Pro Forma Balance Sheet of the Company as of July 31, 2000 attached hereto.</w:t>
      </w:r>
    </w:p>
    <w:p>
      <w:pPr>
        <w:pStyle w:val="Normal"/>
        <w:tabs>
          <w:tab w:val="clear" w:pos="720"/>
          <w:tab w:val="left" w:pos="1080" w:leader="none"/>
        </w:tabs>
        <w:ind w:start="360" w:end="0"/>
        <w:rPr>
          <w:sz w:val="20"/>
        </w:rPr>
      </w:pPr>
      <w:r>
        <w:rPr>
          <w:sz w:val="20"/>
        </w:rPr>
      </w:r>
    </w:p>
    <w:tbl>
      <w:tblPr>
        <w:tblW w:w="7950" w:type="dxa"/>
        <w:jc w:val="start"/>
        <w:tblInd w:w="0" w:type="dxa"/>
        <w:tblLayout w:type="fixed"/>
        <w:tblCellMar>
          <w:top w:w="0" w:type="dxa"/>
          <w:start w:w="30" w:type="dxa"/>
          <w:bottom w:w="0" w:type="dxa"/>
          <w:end w:w="30" w:type="dxa"/>
        </w:tblCellMar>
      </w:tblPr>
      <w:tblGrid>
        <w:gridCol w:w="348"/>
        <w:gridCol w:w="362"/>
        <w:gridCol w:w="130"/>
        <w:gridCol w:w="5220"/>
        <w:gridCol w:w="1890"/>
      </w:tblGrid>
      <w:tr>
        <w:trPr>
          <w:trHeight w:val="305" w:hRule="atLeast"/>
        </w:trPr>
        <w:tc>
          <w:tcPr>
            <w:tcW w:w="6060"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HPL</w:t>
            </w:r>
          </w:p>
        </w:tc>
        <w:tc>
          <w:tcPr>
            <w:tcW w:w="1890" w:type="dxa"/>
            <w:tcBorders>
              <w:top w:val="single" w:sz="2" w:space="0" w:color="000000"/>
              <w:bottom w:val="single" w:sz="2" w:space="0" w:color="000000"/>
              <w:end w:val="single" w:sz="2" w:space="0" w:color="000000"/>
            </w:tcBorders>
          </w:tcPr>
          <w:p>
            <w:pPr>
              <w:pStyle w:val="Normal"/>
              <w:autoSpaceDE w:val="false"/>
              <w:snapToGrid w:val="false"/>
              <w:jc w:val="both"/>
              <w:rPr>
                <w:rFonts w:ascii="Arial" w:hAnsi="Arial" w:cs="Arial"/>
                <w:b/>
                <w:color w:val="000000"/>
                <w:sz w:val="20"/>
              </w:rPr>
            </w:pPr>
            <w:r>
              <w:rPr>
                <w:rFonts w:cs="Arial" w:ascii="Arial" w:hAnsi="Arial"/>
                <w:b/>
                <w:color w:val="000000"/>
                <w:sz w:val="20"/>
              </w:rPr>
            </w:r>
          </w:p>
        </w:tc>
      </w:tr>
      <w:tr>
        <w:trPr>
          <w:trHeight w:val="305" w:hRule="atLeast"/>
        </w:trPr>
        <w:tc>
          <w:tcPr>
            <w:tcW w:w="6060"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Balance Sheet</w:t>
            </w:r>
          </w:p>
        </w:tc>
        <w:tc>
          <w:tcPr>
            <w:tcW w:w="1890" w:type="dxa"/>
            <w:tcBorders>
              <w:top w:val="single" w:sz="2" w:space="0" w:color="000000"/>
              <w:bottom w:val="single" w:sz="2" w:space="0" w:color="000000"/>
              <w:end w:val="single" w:sz="2" w:space="0" w:color="000000"/>
            </w:tcBorders>
          </w:tcPr>
          <w:p>
            <w:pPr>
              <w:pStyle w:val="Normal"/>
              <w:autoSpaceDE w:val="false"/>
              <w:snapToGrid w:val="false"/>
              <w:jc w:val="both"/>
              <w:rPr>
                <w:rFonts w:ascii="Arial" w:hAnsi="Arial" w:cs="Arial"/>
                <w:b/>
                <w:color w:val="000000"/>
                <w:sz w:val="20"/>
              </w:rPr>
            </w:pPr>
            <w:r>
              <w:rPr>
                <w:rFonts w:cs="Arial" w:ascii="Arial" w:hAnsi="Arial"/>
                <w:b/>
                <w:color w:val="000000"/>
                <w:sz w:val="20"/>
              </w:rPr>
            </w:r>
          </w:p>
        </w:tc>
      </w:tr>
      <w:tr>
        <w:trPr>
          <w:trHeight w:val="305" w:hRule="atLeast"/>
        </w:trPr>
        <w:tc>
          <w:tcPr>
            <w:tcW w:w="6060"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As of 07/31/00</w:t>
            </w:r>
          </w:p>
        </w:tc>
        <w:tc>
          <w:tcPr>
            <w:tcW w:w="1890" w:type="dxa"/>
            <w:tcBorders>
              <w:top w:val="single" w:sz="2" w:space="0" w:color="000000"/>
              <w:bottom w:val="single" w:sz="2" w:space="0" w:color="000000"/>
              <w:end w:val="single" w:sz="2" w:space="0" w:color="000000"/>
            </w:tcBorders>
          </w:tcPr>
          <w:p>
            <w:pPr>
              <w:pStyle w:val="Normal"/>
              <w:autoSpaceDE w:val="false"/>
              <w:snapToGrid w:val="false"/>
              <w:jc w:val="both"/>
              <w:rPr>
                <w:rFonts w:ascii="Arial" w:hAnsi="Arial" w:cs="Arial"/>
                <w:b/>
                <w:color w:val="000000"/>
                <w:sz w:val="20"/>
              </w:rPr>
            </w:pPr>
            <w:r>
              <w:rPr>
                <w:rFonts w:cs="Arial" w:ascii="Arial" w:hAnsi="Arial"/>
                <w:b/>
                <w:color w:val="000000"/>
                <w:sz w:val="20"/>
              </w:rPr>
            </w:r>
          </w:p>
        </w:tc>
      </w:tr>
      <w:tr>
        <w:trPr>
          <w:trHeight w:val="247" w:hRule="atLeast"/>
        </w:trPr>
        <w:tc>
          <w:tcPr>
            <w:tcW w:w="6060" w:type="dxa"/>
            <w:gridSpan w:val="4"/>
            <w:tcBorders>
              <w:top w:val="single" w:sz="2" w:space="0" w:color="000000"/>
              <w:start w:val="single" w:sz="2" w:space="0" w:color="000000"/>
              <w:bottom w:val="single" w:sz="2" w:space="0" w:color="000000"/>
            </w:tcBorders>
          </w:tcPr>
          <w:p>
            <w:pPr>
              <w:pStyle w:val="Normal"/>
              <w:autoSpaceDE w:val="false"/>
              <w:jc w:val="center"/>
              <w:rPr>
                <w:rFonts w:ascii="Arial" w:hAnsi="Arial" w:cs="Arial"/>
                <w:b/>
                <w:color w:val="000000"/>
                <w:sz w:val="20"/>
              </w:rPr>
            </w:pPr>
            <w:r>
              <w:rPr>
                <w:rFonts w:cs="Arial" w:ascii="Arial" w:hAnsi="Arial"/>
                <w:b/>
                <w:color w:val="000000"/>
                <w:sz w:val="20"/>
              </w:rPr>
              <w:t>(Dollars in Thousands)</w:t>
            </w:r>
          </w:p>
        </w:tc>
        <w:tc>
          <w:tcPr>
            <w:tcW w:w="1890" w:type="dxa"/>
            <w:tcBorders>
              <w:top w:val="single" w:sz="2" w:space="0" w:color="000000"/>
              <w:bottom w:val="single" w:sz="2" w:space="0" w:color="000000"/>
              <w:end w:val="single" w:sz="2" w:space="0" w:color="000000"/>
            </w:tcBorders>
          </w:tcPr>
          <w:p>
            <w:pPr>
              <w:pStyle w:val="Normal"/>
              <w:autoSpaceDE w:val="false"/>
              <w:snapToGrid w:val="false"/>
              <w:jc w:val="both"/>
              <w:rPr>
                <w:rFonts w:ascii="Arial" w:hAnsi="Arial" w:cs="Arial"/>
                <w:b/>
                <w:color w:val="000000"/>
                <w:sz w:val="20"/>
              </w:rPr>
            </w:pPr>
            <w:r>
              <w:rPr>
                <w:rFonts w:cs="Arial" w:ascii="Arial" w:hAnsi="Arial"/>
                <w:b/>
                <w:color w:val="000000"/>
                <w:sz w:val="20"/>
              </w:rPr>
            </w:r>
          </w:p>
        </w:tc>
      </w:tr>
      <w:tr>
        <w:trPr>
          <w:trHeight w:val="247" w:hRule="atLeast"/>
        </w:trPr>
        <w:tc>
          <w:tcPr>
            <w:tcW w:w="840"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Assets</w:t>
            </w:r>
          </w:p>
        </w:tc>
        <w:tc>
          <w:tcPr>
            <w:tcW w:w="5220"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1890"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both"/>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712"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Current Assets</w:t>
            </w:r>
          </w:p>
        </w:tc>
        <w:tc>
          <w:tcPr>
            <w:tcW w:w="1890"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both"/>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Working Gas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  271,635</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Linepack</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8,952</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Liquids Inventory</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6</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Materials and Supplies</w:t>
            </w:r>
          </w:p>
        </w:tc>
        <w:tc>
          <w:tcPr>
            <w:tcW w:w="1890" w:type="dxa"/>
            <w:tcBorders>
              <w:top w:val="single" w:sz="2"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2,676</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Total Inventories</w:t>
            </w:r>
          </w:p>
        </w:tc>
        <w:tc>
          <w:tcPr>
            <w:tcW w:w="1890" w:type="dxa"/>
            <w:tcBorders>
              <w:top w:val="single" w:sz="6"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11,634</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6"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Prepayments: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American Energy Partners, Inc.</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150</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Carriz Oil &amp; Gas, Inc.</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243</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Hydrocarbon Operating Inc.</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34</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Sterling Bank Inc.</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3</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Verus Energy, Inc.</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132</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Transportation</w:t>
            </w:r>
          </w:p>
        </w:tc>
        <w:tc>
          <w:tcPr>
            <w:tcW w:w="1890" w:type="dxa"/>
            <w:tcBorders>
              <w:top w:val="single" w:sz="2"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310</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Subtotal Prepayments</w:t>
            </w:r>
          </w:p>
        </w:tc>
        <w:tc>
          <w:tcPr>
            <w:tcW w:w="1890" w:type="dxa"/>
            <w:tcBorders>
              <w:top w:val="single" w:sz="6"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872</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Deferred Unaccounted For Gas – Current Month</w:t>
            </w:r>
          </w:p>
        </w:tc>
        <w:tc>
          <w:tcPr>
            <w:tcW w:w="1890" w:type="dxa"/>
            <w:tcBorders>
              <w:top w:val="single" w:sz="6"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34,370</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Deferred Unaccounted For Gas – Prior Months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4,042</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Other</w:t>
            </w:r>
          </w:p>
        </w:tc>
        <w:tc>
          <w:tcPr>
            <w:tcW w:w="1890" w:type="dxa"/>
            <w:tcBorders>
              <w:top w:val="single" w:sz="2"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70</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Total Other</w:t>
            </w:r>
          </w:p>
        </w:tc>
        <w:tc>
          <w:tcPr>
            <w:tcW w:w="1890" w:type="dxa"/>
            <w:tcBorders>
              <w:top w:val="single" w:sz="6"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39,354</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6"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712"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Current Assets</w:t>
            </w:r>
          </w:p>
        </w:tc>
        <w:tc>
          <w:tcPr>
            <w:tcW w:w="1890" w:type="dxa"/>
            <w:tcBorders>
              <w:top w:val="single" w:sz="6"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b/>
                <w:color w:val="000000"/>
                <w:sz w:val="20"/>
              </w:rPr>
            </w:pPr>
            <w:r>
              <w:rPr>
                <w:rFonts w:cs="Arial" w:ascii="Arial" w:hAnsi="Arial"/>
                <w:b/>
                <w:color w:val="000000"/>
                <w:sz w:val="20"/>
              </w:rPr>
              <w:tab/>
              <w:t>322,623</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1890" w:type="dxa"/>
            <w:tcBorders>
              <w:top w:val="single" w:sz="6"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712"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Net PP&amp;E</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 w:val="left" w:pos="1440" w:leader="none"/>
              </w:tabs>
              <w:autoSpaceDE w:val="false"/>
              <w:jc w:val="both"/>
              <w:rPr>
                <w:rFonts w:ascii="Arial" w:hAnsi="Arial" w:cs="Arial"/>
                <w:b/>
                <w:color w:val="000000"/>
                <w:sz w:val="20"/>
              </w:rPr>
            </w:pPr>
            <w:r>
              <w:rPr>
                <w:rFonts w:cs="Arial" w:ascii="Arial" w:hAnsi="Arial"/>
                <w:b/>
                <w:color w:val="000000"/>
                <w:sz w:val="20"/>
              </w:rPr>
              <w:tab/>
              <w:t>370,579</w:t>
              <w:tab/>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712" w:type="dxa"/>
            <w:gridSpan w:val="3"/>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Other Assets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b/>
                <w:color w:val="000000"/>
                <w:sz w:val="20"/>
              </w:rPr>
            </w:pPr>
            <w:r>
              <w:rPr>
                <w:rFonts w:cs="Arial" w:ascii="Arial" w:hAnsi="Arial"/>
                <w:b/>
                <w:color w:val="000000"/>
                <w:sz w:val="20"/>
              </w:rPr>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Prepaid Reservation Fee - MidTexas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7,645</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Operations Technology Services Project - As Builts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3,545</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Big Cowboy Investment</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2,709</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Texas Department of Transportation Receivable</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1,564</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Entex Facility Additions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992</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HMS Labor Fees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434</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Lyondell Discount Prepayment</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409</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Right of Way Project</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54</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Gregg Model Enhancement</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66</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color w:val="000000"/>
                <w:sz w:val="20"/>
              </w:rPr>
            </w:pPr>
            <w:r>
              <w:rPr>
                <w:rFonts w:cs="Arial" w:ascii="Arial" w:hAnsi="Arial"/>
                <w:color w:val="000000"/>
                <w:sz w:val="20"/>
              </w:rPr>
              <w:t>Bammel Project As Built Packages</w:t>
            </w:r>
          </w:p>
        </w:tc>
        <w:tc>
          <w:tcPr>
            <w:tcW w:w="1890" w:type="dxa"/>
            <w:tcBorders>
              <w:top w:val="single" w:sz="2"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color w:val="000000"/>
                <w:sz w:val="20"/>
              </w:rPr>
            </w:pPr>
            <w:r>
              <w:rPr>
                <w:rFonts w:cs="Arial" w:ascii="Arial" w:hAnsi="Arial"/>
                <w:color w:val="000000"/>
                <w:sz w:val="20"/>
              </w:rPr>
              <w:tab/>
              <w:t>66</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eastAsia="Arial" w:cs="Arial" w:ascii="Arial" w:hAnsi="Arial"/>
                <w:b/>
                <w:color w:val="000000"/>
                <w:sz w:val="20"/>
              </w:rPr>
              <w:t xml:space="preserve">     </w:t>
            </w:r>
            <w:r>
              <w:rPr>
                <w:rFonts w:cs="Arial" w:ascii="Arial" w:hAnsi="Arial"/>
                <w:b/>
                <w:color w:val="000000"/>
                <w:sz w:val="20"/>
              </w:rPr>
              <w:t>Total Other Assets</w:t>
            </w:r>
          </w:p>
        </w:tc>
        <w:tc>
          <w:tcPr>
            <w:tcW w:w="1890" w:type="dxa"/>
            <w:tcBorders>
              <w:top w:val="single" w:sz="6"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jc w:val="both"/>
              <w:rPr>
                <w:rFonts w:ascii="Arial" w:hAnsi="Arial" w:cs="Arial"/>
                <w:b/>
                <w:color w:val="000000"/>
                <w:sz w:val="20"/>
              </w:rPr>
            </w:pPr>
            <w:r>
              <w:rPr>
                <w:rFonts w:cs="Arial" w:ascii="Arial" w:hAnsi="Arial"/>
                <w:b/>
                <w:color w:val="000000"/>
                <w:sz w:val="20"/>
              </w:rPr>
              <w:tab/>
              <w:t>17,484</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2"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62" w:hRule="atLeast"/>
        </w:trPr>
        <w:tc>
          <w:tcPr>
            <w:tcW w:w="6060"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Assets</w:t>
            </w:r>
          </w:p>
        </w:tc>
        <w:tc>
          <w:tcPr>
            <w:tcW w:w="1890" w:type="dxa"/>
            <w:tcBorders>
              <w:top w:val="single" w:sz="6" w:space="0" w:color="000000"/>
              <w:start w:val="single" w:sz="2" w:space="0" w:color="000000"/>
              <w:bottom w:val="double" w:sz="6" w:space="0" w:color="000000"/>
              <w:end w:val="single" w:sz="2" w:space="0" w:color="000000"/>
            </w:tcBorders>
          </w:tcPr>
          <w:p>
            <w:pPr>
              <w:pStyle w:val="Normal"/>
              <w:tabs>
                <w:tab w:val="clear" w:pos="720"/>
                <w:tab w:val="right" w:pos="1410" w:leader="none"/>
              </w:tabs>
              <w:autoSpaceDE w:val="false"/>
              <w:jc w:val="both"/>
              <w:rPr>
                <w:rFonts w:ascii="Arial" w:hAnsi="Arial" w:cs="Arial"/>
                <w:b/>
                <w:color w:val="000000"/>
                <w:sz w:val="20"/>
              </w:rPr>
            </w:pPr>
            <w:r>
              <w:rPr>
                <w:rFonts w:cs="Arial" w:ascii="Arial" w:hAnsi="Arial"/>
                <w:b/>
                <w:color w:val="000000"/>
                <w:sz w:val="20"/>
              </w:rPr>
              <w:tab/>
              <w:t>$  710,686</w:t>
            </w:r>
          </w:p>
        </w:tc>
      </w:tr>
      <w:tr>
        <w:trPr>
          <w:trHeight w:val="262"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double" w:sz="6"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6060"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Liabilities</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b/>
                <w:color w:val="000000"/>
                <w:sz w:val="20"/>
              </w:rPr>
            </w:pPr>
            <w:r>
              <w:rPr>
                <w:rFonts w:cs="Arial" w:ascii="Arial" w:hAnsi="Arial"/>
                <w:b/>
                <w:color w:val="000000"/>
                <w:sz w:val="20"/>
              </w:rPr>
              <w:t>$</w:t>
              <w:tab/>
              <w:t>-</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47" w:hRule="atLeast"/>
        </w:trPr>
        <w:tc>
          <w:tcPr>
            <w:tcW w:w="6060"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Stockholder's Equity</w:t>
            </w:r>
          </w:p>
        </w:tc>
        <w:tc>
          <w:tcPr>
            <w:tcW w:w="1890" w:type="dxa"/>
            <w:tcBorders>
              <w:top w:val="single" w:sz="2" w:space="0" w:color="000000"/>
              <w:start w:val="single" w:sz="2" w:space="0" w:color="000000"/>
              <w:bottom w:val="single" w:sz="2" w:space="0" w:color="000000"/>
              <w:end w:val="single" w:sz="2" w:space="0" w:color="000000"/>
            </w:tcBorders>
          </w:tcPr>
          <w:p>
            <w:pPr>
              <w:pStyle w:val="Normal"/>
              <w:tabs>
                <w:tab w:val="clear" w:pos="720"/>
                <w:tab w:val="right" w:pos="1410" w:leader="none"/>
              </w:tabs>
              <w:autoSpaceDE w:val="false"/>
              <w:jc w:val="both"/>
              <w:rPr>
                <w:rFonts w:ascii="Arial" w:hAnsi="Arial" w:cs="Arial"/>
                <w:b/>
                <w:color w:val="000000"/>
                <w:sz w:val="20"/>
              </w:rPr>
            </w:pPr>
            <w:r>
              <w:rPr>
                <w:rFonts w:cs="Arial" w:ascii="Arial" w:hAnsi="Arial"/>
                <w:b/>
                <w:color w:val="000000"/>
                <w:sz w:val="20"/>
              </w:rPr>
              <w:tab/>
              <w:t>$  710,686</w:t>
            </w:r>
          </w:p>
        </w:tc>
      </w:tr>
      <w:tr>
        <w:trPr>
          <w:trHeight w:val="247" w:hRule="atLeast"/>
        </w:trPr>
        <w:tc>
          <w:tcPr>
            <w:tcW w:w="348"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362" w:type="dxa"/>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b/>
                <w:color w:val="000000"/>
                <w:sz w:val="20"/>
              </w:rPr>
            </w:pPr>
            <w:r>
              <w:rPr>
                <w:rFonts w:cs="Arial" w:ascii="Arial" w:hAnsi="Arial"/>
                <w:b/>
                <w:color w:val="000000"/>
                <w:sz w:val="20"/>
              </w:rPr>
            </w:r>
          </w:p>
        </w:tc>
        <w:tc>
          <w:tcPr>
            <w:tcW w:w="5350" w:type="dxa"/>
            <w:gridSpan w:val="2"/>
            <w:tcBorders>
              <w:top w:val="single" w:sz="2" w:space="0" w:color="000000"/>
              <w:start w:val="single" w:sz="2" w:space="0" w:color="000000"/>
              <w:bottom w:val="single" w:sz="2" w:space="0" w:color="000000"/>
              <w:end w:val="single" w:sz="2" w:space="0" w:color="000000"/>
            </w:tcBorders>
          </w:tcPr>
          <w:p>
            <w:pPr>
              <w:pStyle w:val="Normal"/>
              <w:autoSpaceDE w:val="false"/>
              <w:snapToGrid w:val="false"/>
              <w:jc w:val="end"/>
              <w:rPr>
                <w:rFonts w:ascii="Arial" w:hAnsi="Arial" w:cs="Arial"/>
                <w:color w:val="000000"/>
                <w:sz w:val="20"/>
              </w:rPr>
            </w:pPr>
            <w:r>
              <w:rPr>
                <w:rFonts w:cs="Arial" w:ascii="Arial" w:hAnsi="Arial"/>
                <w:color w:val="000000"/>
                <w:sz w:val="20"/>
              </w:rPr>
            </w:r>
          </w:p>
        </w:tc>
        <w:tc>
          <w:tcPr>
            <w:tcW w:w="1890" w:type="dxa"/>
            <w:tcBorders>
              <w:top w:val="single" w:sz="2" w:space="0" w:color="000000"/>
              <w:start w:val="single" w:sz="2" w:space="0" w:color="000000"/>
              <w:bottom w:val="single" w:sz="6" w:space="0" w:color="000000"/>
              <w:end w:val="single" w:sz="2" w:space="0" w:color="000000"/>
            </w:tcBorders>
          </w:tcPr>
          <w:p>
            <w:pPr>
              <w:pStyle w:val="Normal"/>
              <w:tabs>
                <w:tab w:val="clear" w:pos="720"/>
                <w:tab w:val="right" w:pos="1410" w:leader="none"/>
              </w:tabs>
              <w:autoSpaceDE w:val="false"/>
              <w:snapToGrid w:val="false"/>
              <w:jc w:val="both"/>
              <w:rPr>
                <w:rFonts w:ascii="Arial" w:hAnsi="Arial" w:cs="Arial"/>
                <w:color w:val="000000"/>
                <w:sz w:val="20"/>
              </w:rPr>
            </w:pPr>
            <w:r>
              <w:rPr>
                <w:rFonts w:cs="Arial" w:ascii="Arial" w:hAnsi="Arial"/>
                <w:color w:val="000000"/>
                <w:sz w:val="20"/>
              </w:rPr>
            </w:r>
          </w:p>
        </w:tc>
      </w:tr>
      <w:tr>
        <w:trPr>
          <w:trHeight w:val="262" w:hRule="atLeast"/>
        </w:trPr>
        <w:tc>
          <w:tcPr>
            <w:tcW w:w="6060" w:type="dxa"/>
            <w:gridSpan w:val="4"/>
            <w:tcBorders>
              <w:top w:val="single" w:sz="2" w:space="0" w:color="000000"/>
              <w:start w:val="single" w:sz="2" w:space="0" w:color="000000"/>
              <w:bottom w:val="single" w:sz="2" w:space="0" w:color="000000"/>
              <w:end w:val="single" w:sz="2" w:space="0" w:color="000000"/>
            </w:tcBorders>
          </w:tcPr>
          <w:p>
            <w:pPr>
              <w:pStyle w:val="Normal"/>
              <w:autoSpaceDE w:val="false"/>
              <w:rPr>
                <w:rFonts w:ascii="Arial" w:hAnsi="Arial" w:cs="Arial"/>
                <w:b/>
                <w:color w:val="000000"/>
                <w:sz w:val="20"/>
              </w:rPr>
            </w:pPr>
            <w:r>
              <w:rPr>
                <w:rFonts w:cs="Arial" w:ascii="Arial" w:hAnsi="Arial"/>
                <w:b/>
                <w:color w:val="000000"/>
                <w:sz w:val="20"/>
              </w:rPr>
              <w:t>Total Liabilities and Stockholder's Equity</w:t>
            </w:r>
          </w:p>
        </w:tc>
        <w:tc>
          <w:tcPr>
            <w:tcW w:w="1890" w:type="dxa"/>
            <w:tcBorders>
              <w:top w:val="single" w:sz="6" w:space="0" w:color="000000"/>
              <w:start w:val="single" w:sz="2" w:space="0" w:color="000000"/>
              <w:bottom w:val="double" w:sz="6" w:space="0" w:color="000000"/>
              <w:end w:val="single" w:sz="2" w:space="0" w:color="000000"/>
            </w:tcBorders>
          </w:tcPr>
          <w:p>
            <w:pPr>
              <w:pStyle w:val="Normal"/>
              <w:tabs>
                <w:tab w:val="clear" w:pos="720"/>
                <w:tab w:val="right" w:pos="1410" w:leader="none"/>
              </w:tabs>
              <w:autoSpaceDE w:val="false"/>
              <w:jc w:val="both"/>
              <w:rPr>
                <w:rFonts w:ascii="Arial" w:hAnsi="Arial" w:cs="Arial"/>
                <w:b/>
                <w:color w:val="000000"/>
                <w:sz w:val="20"/>
              </w:rPr>
            </w:pPr>
            <w:r>
              <w:rPr>
                <w:rFonts w:cs="Arial" w:ascii="Arial" w:hAnsi="Arial"/>
                <w:b/>
                <w:color w:val="000000"/>
                <w:sz w:val="20"/>
              </w:rPr>
              <w:tab/>
              <w:t xml:space="preserve">$  710,686 </w:t>
            </w:r>
          </w:p>
        </w:tc>
      </w:tr>
    </w:tbl>
    <w:p>
      <w:pPr>
        <w:sectPr>
          <w:footerReference w:type="default" r:id="rId7"/>
          <w:footerReference w:type="first" r:id="rId8"/>
          <w:type w:val="nextPage"/>
          <w:pgSz w:w="12240" w:h="15840"/>
          <w:pgMar w:left="1440" w:right="1440" w:gutter="0" w:header="0" w:top="720" w:footer="720" w:bottom="776"/>
          <w:pgNumType w:fmt="decimal"/>
          <w:formProt w:val="false"/>
          <w:vAlign w:val="center"/>
          <w:textDirection w:val="lrTb"/>
          <w:docGrid w:type="default" w:linePitch="360" w:charSpace="0"/>
        </w:sectPr>
      </w:pPr>
    </w:p>
    <w:p>
      <w:pPr>
        <w:pStyle w:val="Normal"/>
        <w:tabs>
          <w:tab w:val="clear" w:pos="720"/>
          <w:tab w:val="left" w:pos="1080" w:leader="none"/>
        </w:tabs>
        <w:ind w:start="360" w:end="0"/>
        <w:rPr>
          <w:sz w:val="20"/>
        </w:rPr>
      </w:pPr>
      <w:r>
        <w:rPr>
          <w:sz w:val="20"/>
        </w:rPr>
      </w:r>
    </w:p>
    <w:p>
      <w:pPr>
        <w:pStyle w:val="Normal"/>
        <w:jc w:val="center"/>
        <w:rPr/>
      </w:pPr>
      <w:r>
        <w:rPr/>
        <w:t>PURCHASE AND SALE AGREEMENT</w:t>
      </w:r>
    </w:p>
    <w:p>
      <w:pPr>
        <w:pStyle w:val="Normal"/>
        <w:jc w:val="center"/>
        <w:rPr/>
      </w:pPr>
      <w:r>
        <w:rPr/>
      </w:r>
    </w:p>
    <w:p>
      <w:pPr>
        <w:pStyle w:val="Normal"/>
        <w:jc w:val="center"/>
        <w:rPr/>
      </w:pPr>
      <w:r>
        <w:rPr/>
        <w:t>Schedule 4.7(b)</w:t>
      </w:r>
    </w:p>
    <w:p>
      <w:pPr>
        <w:pStyle w:val="Normal"/>
        <w:jc w:val="center"/>
        <w:rPr/>
      </w:pPr>
      <w:r>
        <w:rPr/>
        <w:t>Exceptions to Balance Sheet</w:t>
      </w:r>
    </w:p>
    <w:p>
      <w:pPr>
        <w:pStyle w:val="Normal"/>
        <w:jc w:val="center"/>
        <w:rPr/>
      </w:pPr>
      <w:r>
        <w:rPr/>
      </w:r>
    </w:p>
    <w:p>
      <w:pPr>
        <w:pStyle w:val="Normal"/>
        <w:jc w:val="center"/>
        <w:rPr/>
      </w:pPr>
      <w:r>
        <w:rPr/>
      </w:r>
    </w:p>
    <w:p>
      <w:pPr>
        <w:pStyle w:val="Normal"/>
        <w:numPr>
          <w:ilvl w:val="0"/>
          <w:numId w:val="12"/>
        </w:numPr>
        <w:rPr/>
      </w:pPr>
      <w:r>
        <w:rPr/>
        <w:t>The Balance Sheet assumes that (i) the Excluded Assets and Retained Liabilities have been transferred out of HPL (or, with respect to certain subsidiaries associated with the unwind of the “MidTexas”, “Project Rock” and “Looper” monetizations, dissolved), (ii) that the “MidTexas”, “Project Rock” and “Looper” monetizations have been unwound; and (iii) the portion of the “Bammel Gas” monetization applicable to working gas has been unwound.</w:t>
      </w:r>
    </w:p>
    <w:p>
      <w:pPr>
        <w:pStyle w:val="Normal"/>
        <w:ind w:start="360" w:end="0"/>
        <w:rPr/>
      </w:pPr>
      <w:r>
        <w:rPr/>
      </w:r>
    </w:p>
    <w:p>
      <w:pPr>
        <w:pStyle w:val="Normal"/>
        <w:tabs>
          <w:tab w:val="clear" w:pos="720"/>
          <w:tab w:val="left" w:pos="1080" w:leader="none"/>
        </w:tabs>
        <w:ind w:hanging="720" w:start="1080" w:end="0"/>
        <w:rPr/>
      </w:pPr>
      <w:r>
        <w:rPr/>
        <w:t>2.</w:t>
        <w:tab/>
        <w:t>Working Gas and Linepack Inventory are reflected at market value (based on          Houston Ship Channel prices as of September 13, 2000) rather than at cost.</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3.</w:t>
        <w:tab/>
        <w:t>The Balance Sheet does not include any reserves (whether or not required by GAAP) for potential liabilities resulting from pending or threatened litigation, environmental, health or safety matters or any accrual for any Taxes.</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4.</w:t>
        <w:tab/>
        <w:t>The accrued incentive payment to Hanover Measurement Services Company L.P. for the year 2000 is not reflected on the Balance Sheet.  As of July 31, 2000, the accrued amount was $1,269,077.  The incentive payment for 2000 is due and payable in March 2001 and will be a Retained Liability.  The obligation to pay the accrued incentive payment for the year 2001 will not be a Retained Liability.</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5.</w:t>
        <w:tab/>
        <w:t>Certain customers have made deposits with HPL as security for future defaults; these deposits are not reflected on the Balance Sheet.  The responsibility for refunding such deposits will be retained by HPL post-Closing.  As of July 31, the aggregate amount of such deposits was $42,947.  As of December 18, the aggregate amount was $61,345.</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6.</w:t>
        <w:tab/>
        <w:t xml:space="preserve">Certain right of way rentals to the Port of Houston are unpaid as of this time and are not reflected on the Balance Sheet; HPL, along with several other pipeline companies, have filed suit against the Port seeking reimbursement of costs incurred as a result of improvements made to the Houston Ship Channel [See Schedule 4.11] and until the litigation is complete or settled the Port will not address the renewals of expired permits or the costs associated therewith; the estimated amount that will need to be paid is approximately $50,000, based upon prior amounts charged.  </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7.</w:t>
        <w:tab/>
        <w:t>The Balance Sheet does not reflect two Notes Payable that will not be Retained Liabilities.  These Notes represent a portion of the purchase price on two properties acquired by HPL.  The amount of the Notes and their respective payment terms are as follows:</w:t>
      </w:r>
    </w:p>
    <w:p>
      <w:pPr>
        <w:pStyle w:val="Normal"/>
        <w:tabs>
          <w:tab w:val="clear" w:pos="720"/>
          <w:tab w:val="left" w:pos="1080" w:leader="none"/>
        </w:tabs>
        <w:ind w:hanging="720" w:start="1080" w:end="0"/>
        <w:rPr/>
      </w:pPr>
      <w:r>
        <w:rPr/>
      </w:r>
    </w:p>
    <w:p>
      <w:pPr>
        <w:pStyle w:val="Normal"/>
        <w:tabs>
          <w:tab w:val="clear" w:pos="720"/>
          <w:tab w:val="left" w:pos="1080" w:leader="none"/>
        </w:tabs>
        <w:ind w:hanging="2520" w:start="2880" w:end="0"/>
        <w:rPr/>
      </w:pPr>
      <w:r>
        <w:rPr/>
        <w:tab/>
        <w:t>Alvin Note:</w:t>
        <w:tab/>
        <w:t>$73,790   10 year note at 10% interest.  Last payment due May 2001</w:t>
      </w:r>
    </w:p>
    <w:p>
      <w:pPr>
        <w:pStyle w:val="Normal"/>
        <w:tabs>
          <w:tab w:val="clear" w:pos="720"/>
          <w:tab w:val="left" w:pos="1080" w:leader="none"/>
        </w:tabs>
        <w:ind w:hanging="720" w:start="1080" w:end="0"/>
        <w:rPr/>
      </w:pPr>
      <w:r>
        <w:rPr/>
      </w:r>
    </w:p>
    <w:p>
      <w:pPr>
        <w:pStyle w:val="Normal"/>
        <w:tabs>
          <w:tab w:val="clear" w:pos="720"/>
          <w:tab w:val="left" w:pos="1080" w:leader="none"/>
        </w:tabs>
        <w:ind w:hanging="2520" w:start="2880" w:end="0"/>
        <w:rPr/>
      </w:pPr>
      <w:r>
        <w:rPr/>
        <w:tab/>
        <w:t>Tivoli Note:</w:t>
        <w:tab/>
        <w:t>$80,000   4 year note at 5% interest.  Last payment due August 2003</w:t>
      </w:r>
    </w:p>
    <w:p>
      <w:pPr>
        <w:pStyle w:val="Normal"/>
        <w:tabs>
          <w:tab w:val="clear" w:pos="720"/>
          <w:tab w:val="left" w:pos="1080" w:leader="none"/>
        </w:tabs>
        <w:ind w:hanging="720" w:start="1080" w:end="0"/>
        <w:rPr/>
      </w:pPr>
      <w:r>
        <w:rPr/>
      </w:r>
    </w:p>
    <w:p>
      <w:pPr>
        <w:pStyle w:val="Normal"/>
        <w:autoSpaceDE w:val="false"/>
        <w:ind w:hanging="720" w:start="1080" w:end="0"/>
        <w:rPr/>
      </w:pPr>
      <w:r>
        <w:rPr/>
        <w:t>8.</w:t>
        <w:tab/>
        <w:t>The Net PP&amp;E account balance shown on the Balance Sheet does not include the book value of the Tivoli Property of $112,387.28 which was acquired in August, 2000.</w:t>
      </w:r>
    </w:p>
    <w:p>
      <w:pPr>
        <w:pStyle w:val="Normal"/>
        <w:tabs>
          <w:tab w:val="clear" w:pos="720"/>
          <w:tab w:val="left" w:pos="1080" w:leader="none"/>
        </w:tabs>
        <w:ind w:hanging="720" w:start="1080" w:end="0"/>
        <w:rPr/>
      </w:pPr>
      <w:r>
        <w:rPr/>
      </w:r>
    </w:p>
    <w:p>
      <w:pPr>
        <w:pStyle w:val="Normal"/>
        <w:tabs>
          <w:tab w:val="clear" w:pos="720"/>
          <w:tab w:val="left" w:pos="1080" w:leader="none"/>
        </w:tabs>
        <w:ind w:hanging="720" w:start="1080" w:end="0"/>
        <w:rPr/>
      </w:pPr>
      <w:r>
        <w:rPr/>
        <w:t>9.</w:t>
        <w:tab/>
        <w:t>The Net PP&amp;E account balance shown on the Balance Sheet includes certain Excluded Assets as detailed below.</w:t>
      </w:r>
    </w:p>
    <w:p>
      <w:pPr>
        <w:pStyle w:val="Normal"/>
        <w:tabs>
          <w:tab w:val="clear" w:pos="720"/>
          <w:tab w:val="left" w:pos="1080" w:leader="none"/>
        </w:tabs>
        <w:ind w:hanging="720" w:start="1080" w:end="0"/>
        <w:rPr/>
      </w:pPr>
      <w:r>
        <w:rPr/>
      </w:r>
    </w:p>
    <w:tbl>
      <w:tblPr>
        <w:tblW w:w="8721" w:type="dxa"/>
        <w:jc w:val="start"/>
        <w:tblInd w:w="0" w:type="dxa"/>
        <w:tblLayout w:type="fixed"/>
        <w:tblCellMar>
          <w:top w:w="12" w:type="dxa"/>
          <w:start w:w="12" w:type="dxa"/>
          <w:bottom w:w="0" w:type="dxa"/>
          <w:end w:w="12" w:type="dxa"/>
        </w:tblCellMar>
      </w:tblPr>
      <w:tblGrid>
        <w:gridCol w:w="68"/>
        <w:gridCol w:w="6328"/>
        <w:gridCol w:w="2187"/>
        <w:gridCol w:w="69"/>
        <w:gridCol w:w="69"/>
      </w:tblGrid>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snapToGrid w:val="false"/>
              <w:rPr>
                <w:rFonts w:ascii="Arial" w:hAnsi="Arial" w:cs="Arial"/>
                <w:sz w:val="20"/>
              </w:rPr>
            </w:pPr>
            <w:r>
              <w:rPr>
                <w:rFonts w:cs="Arial" w:ascii="Arial" w:hAnsi="Arial"/>
                <w:sz w:val="20"/>
              </w:rPr>
            </w:r>
          </w:p>
        </w:tc>
        <w:tc>
          <w:tcPr>
            <w:tcW w:w="2187"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snapToGrid w:val="false"/>
              <w:rPr>
                <w:rFonts w:ascii="Arial" w:hAnsi="Arial" w:cs="Arial"/>
                <w:sz w:val="20"/>
              </w:rPr>
            </w:pPr>
            <w:r>
              <w:rPr>
                <w:rFonts w:cs="Arial" w:ascii="Arial" w:hAnsi="Arial"/>
                <w:sz w:val="20"/>
              </w:rPr>
            </w:r>
          </w:p>
        </w:tc>
        <w:tc>
          <w:tcPr>
            <w:tcW w:w="2187"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bottom w:val="single" w:sz="4" w:space="0" w:color="000000"/>
            </w:tcBorders>
            <w:vAlign w:val="bottom"/>
          </w:tcPr>
          <w:p>
            <w:pPr>
              <w:pStyle w:val="Normal"/>
              <w:rPr>
                <w:rFonts w:ascii="Arial" w:hAnsi="Arial" w:cs="Arial"/>
                <w:b/>
                <w:bCs/>
                <w:sz w:val="20"/>
              </w:rPr>
            </w:pPr>
            <w:r>
              <w:rPr>
                <w:rFonts w:cs="Arial" w:ascii="Arial" w:hAnsi="Arial"/>
                <w:b/>
                <w:bCs/>
                <w:sz w:val="20"/>
              </w:rPr>
              <w:t>Plant</w:t>
            </w:r>
          </w:p>
        </w:tc>
        <w:tc>
          <w:tcPr>
            <w:tcW w:w="2187" w:type="dxa"/>
            <w:tcBorders>
              <w:bottom w:val="single" w:sz="4" w:space="0" w:color="000000"/>
            </w:tcBorders>
            <w:vAlign w:val="bottom"/>
          </w:tcPr>
          <w:p>
            <w:pPr>
              <w:pStyle w:val="Normal"/>
              <w:rPr>
                <w:rFonts w:ascii="Arial" w:hAnsi="Arial" w:cs="Arial"/>
                <w:b/>
                <w:bCs/>
                <w:sz w:val="20"/>
              </w:rPr>
            </w:pPr>
            <w:r>
              <w:rPr>
                <w:rFonts w:cs="Arial" w:ascii="Arial" w:hAnsi="Arial"/>
                <w:b/>
                <w:bCs/>
                <w:sz w:val="20"/>
              </w:rPr>
              <w:t>NBV of Assets</w:t>
            </w:r>
          </w:p>
        </w:tc>
        <w:tc>
          <w:tcPr>
            <w:tcW w:w="69" w:type="dxa"/>
            <w:tcBorders/>
            <w:vAlign w:val="bottom"/>
          </w:tcPr>
          <w:p>
            <w:pPr>
              <w:pStyle w:val="Normal"/>
              <w:snapToGrid w:val="false"/>
              <w:rPr>
                <w:rFonts w:ascii="Arial" w:hAnsi="Arial" w:cs="Arial"/>
                <w:b/>
                <w:bCs/>
                <w:sz w:val="20"/>
              </w:rPr>
            </w:pPr>
            <w:r>
              <w:rPr>
                <w:rFonts w:cs="Arial" w:ascii="Arial" w:hAnsi="Arial"/>
                <w:b/>
                <w:bCs/>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Tuleta Gas Plant</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137,103.00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Magnolia City Gas Plant</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251,042.00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Robstown Gas Plant</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65,739.00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Victoria Plant</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26,000.00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Daggs #2 Dehydrator Site</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134,067.28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Smith Production (formerly Amoco) Dehy Site</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32,231.32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rPr>
                <w:rFonts w:ascii="Arial" w:hAnsi="Arial" w:cs="Arial"/>
                <w:sz w:val="20"/>
              </w:rPr>
            </w:pPr>
            <w:r>
              <w:rPr>
                <w:rFonts w:cs="Arial" w:ascii="Arial" w:hAnsi="Arial"/>
                <w:sz w:val="20"/>
              </w:rPr>
              <w:t>Conoco "Headquarters Field" Dehydrator Site</w:t>
            </w:r>
          </w:p>
        </w:tc>
        <w:tc>
          <w:tcPr>
            <w:tcW w:w="2187"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6,975.00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r>
        <w:trPr>
          <w:trHeight w:val="270" w:hRule="atLeast"/>
        </w:trPr>
        <w:tc>
          <w:tcPr>
            <w:tcW w:w="68" w:type="dxa"/>
            <w:tcBorders/>
            <w:vAlign w:val="bottom"/>
          </w:tcPr>
          <w:p>
            <w:pPr>
              <w:pStyle w:val="Normal"/>
              <w:snapToGrid w:val="false"/>
              <w:rPr>
                <w:rFonts w:ascii="Arial" w:hAnsi="Arial" w:cs="Arial"/>
                <w:sz w:val="20"/>
              </w:rPr>
            </w:pPr>
            <w:r>
              <w:rPr>
                <w:rFonts w:cs="Arial" w:ascii="Arial" w:hAnsi="Arial"/>
                <w:sz w:val="20"/>
              </w:rPr>
            </w:r>
          </w:p>
        </w:tc>
        <w:tc>
          <w:tcPr>
            <w:tcW w:w="6328" w:type="dxa"/>
            <w:tcBorders/>
            <w:vAlign w:val="bottom"/>
          </w:tcPr>
          <w:p>
            <w:pPr>
              <w:pStyle w:val="Normal"/>
              <w:snapToGrid w:val="false"/>
              <w:rPr>
                <w:rFonts w:ascii="Arial" w:hAnsi="Arial" w:cs="Arial"/>
                <w:sz w:val="20"/>
              </w:rPr>
            </w:pPr>
            <w:r>
              <w:rPr>
                <w:rFonts w:cs="Arial" w:ascii="Arial" w:hAnsi="Arial"/>
                <w:sz w:val="20"/>
              </w:rPr>
            </w:r>
          </w:p>
        </w:tc>
        <w:tc>
          <w:tcPr>
            <w:tcW w:w="2187" w:type="dxa"/>
            <w:tcBorders>
              <w:top w:val="single" w:sz="4" w:space="0" w:color="000000"/>
              <w:bottom w:val="double" w:sz="6" w:space="0" w:color="000000"/>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587,418.60 </w:t>
            </w:r>
          </w:p>
        </w:tc>
        <w:tc>
          <w:tcPr>
            <w:tcW w:w="69" w:type="dxa"/>
            <w:tcBorders/>
            <w:vAlign w:val="bottom"/>
          </w:tcPr>
          <w:p>
            <w:pPr>
              <w:pStyle w:val="Normal"/>
              <w:snapToGrid w:val="false"/>
              <w:rPr>
                <w:rFonts w:ascii="Arial" w:hAnsi="Arial" w:cs="Arial"/>
                <w:sz w:val="20"/>
              </w:rPr>
            </w:pPr>
            <w:r>
              <w:rPr>
                <w:rFonts w:cs="Arial" w:ascii="Arial" w:hAnsi="Arial"/>
                <w:sz w:val="20"/>
              </w:rPr>
            </w:r>
          </w:p>
        </w:tc>
        <w:tc>
          <w:tcPr>
            <w:tcW w:w="69" w:type="dxa"/>
            <w:tcBorders/>
            <w:vAlign w:val="bottom"/>
          </w:tcPr>
          <w:p>
            <w:pPr>
              <w:pStyle w:val="Normal"/>
              <w:snapToGrid w:val="false"/>
              <w:rPr>
                <w:rFonts w:ascii="Arial" w:hAnsi="Arial" w:cs="Arial"/>
                <w:sz w:val="20"/>
              </w:rPr>
            </w:pPr>
            <w:r>
              <w:rPr>
                <w:rFonts w:cs="Arial" w:ascii="Arial" w:hAnsi="Arial"/>
                <w:sz w:val="20"/>
              </w:rPr>
            </w:r>
          </w:p>
        </w:tc>
      </w:tr>
    </w:tbl>
    <w:p>
      <w:pPr>
        <w:pStyle w:val="Normal"/>
        <w:tabs>
          <w:tab w:val="clear" w:pos="720"/>
          <w:tab w:val="left" w:pos="1080" w:leader="none"/>
        </w:tabs>
        <w:rPr>
          <w:u w:val="double"/>
        </w:rPr>
      </w:pPr>
      <w:r>
        <w:rPr>
          <w:u w:val="double"/>
        </w:rPr>
      </w:r>
    </w:p>
    <w:p>
      <w:pPr>
        <w:pStyle w:val="Normal"/>
        <w:tabs>
          <w:tab w:val="clear" w:pos="720"/>
          <w:tab w:val="left" w:pos="1080" w:leader="none"/>
        </w:tabs>
        <w:ind w:hanging="720" w:start="1080" w:end="0"/>
        <w:rPr>
          <w:u w:val="double"/>
        </w:rPr>
      </w:pPr>
      <w:r>
        <w:rPr/>
        <w:t>10.</w:t>
        <w:tab/>
        <w:t>The Net PP&amp;E account balance includes $76,401,000 representing the Company’s 50% net investment in MidTexas Pipeline Company.</w:t>
      </w:r>
    </w:p>
    <w:p>
      <w:pPr>
        <w:pStyle w:val="Normal"/>
        <w:tabs>
          <w:tab w:val="clear" w:pos="720"/>
          <w:tab w:val="left" w:pos="1080" w:leader="none"/>
        </w:tabs>
        <w:ind w:hanging="720" w:start="1080" w:end="0"/>
        <w:rPr/>
      </w:pPr>
      <w:r>
        <w:rPr/>
        <w:tab/>
      </w:r>
    </w:p>
    <w:p>
      <w:pPr>
        <w:pStyle w:val="Normal"/>
        <w:tabs>
          <w:tab w:val="clear" w:pos="720"/>
          <w:tab w:val="left" w:pos="1080" w:leader="none"/>
        </w:tabs>
        <w:ind w:hanging="720" w:start="1080" w:end="0"/>
        <w:rPr/>
      </w:pPr>
      <w:r>
        <w:rPr/>
      </w:r>
      <w:r>
        <w:br w:type="page"/>
      </w:r>
    </w:p>
    <w:p>
      <w:pPr>
        <w:pStyle w:val="Normal"/>
        <w:jc w:val="center"/>
        <w:rPr/>
      </w:pPr>
      <w:r>
        <w:rPr/>
        <w:t>PURCHASE AND SALE AGREEMENT</w:t>
      </w:r>
    </w:p>
    <w:p>
      <w:pPr>
        <w:pStyle w:val="Normal"/>
        <w:jc w:val="center"/>
        <w:rPr/>
      </w:pPr>
      <w:r>
        <w:rPr/>
      </w:r>
    </w:p>
    <w:p>
      <w:pPr>
        <w:pStyle w:val="Normal"/>
        <w:tabs>
          <w:tab w:val="clear" w:pos="720"/>
          <w:tab w:val="left" w:pos="1080" w:leader="none"/>
        </w:tabs>
        <w:ind w:hanging="720" w:start="1080" w:end="0"/>
        <w:jc w:val="center"/>
        <w:rPr/>
      </w:pPr>
      <w:r>
        <w:rPr/>
        <w:t>Schedule 4.7(c)</w:t>
      </w:r>
    </w:p>
    <w:p>
      <w:pPr>
        <w:pStyle w:val="Normal"/>
        <w:tabs>
          <w:tab w:val="clear" w:pos="720"/>
          <w:tab w:val="left" w:pos="1080" w:leader="none"/>
        </w:tabs>
        <w:ind w:hanging="720" w:start="1080" w:end="0"/>
        <w:jc w:val="center"/>
        <w:rPr/>
      </w:pPr>
      <w:r>
        <w:rPr/>
        <w:t>Liabilities</w:t>
      </w:r>
    </w:p>
    <w:p>
      <w:pPr>
        <w:pStyle w:val="Normal"/>
        <w:tabs>
          <w:tab w:val="clear" w:pos="720"/>
          <w:tab w:val="left" w:pos="1080" w:leader="none"/>
        </w:tabs>
        <w:ind w:hanging="720" w:start="1080" w:end="0"/>
        <w:rPr/>
      </w:pPr>
      <w:r>
        <w:rPr/>
      </w:r>
    </w:p>
    <w:p>
      <w:pPr>
        <w:pStyle w:val="Normal"/>
        <w:ind w:firstLine="720" w:end="0"/>
        <w:rPr/>
      </w:pPr>
      <w:r>
        <w:rPr/>
        <w:t>Liabilities associated with the A/S Line rupture that are not part of the Retained A/S Line Liabilities as described in Section 13.01 of the Agreement.</w:t>
      </w:r>
      <w:r>
        <w:br w:type="page"/>
      </w:r>
    </w:p>
    <w:p>
      <w:pPr>
        <w:pStyle w:val="Normal"/>
        <w:tabs>
          <w:tab w:val="clear" w:pos="720"/>
          <w:tab w:val="left" w:pos="1080" w:leader="none"/>
        </w:tabs>
        <w:ind w:hanging="720" w:start="1080" w:end="0"/>
        <w:jc w:val="center"/>
        <w:rPr/>
      </w:pPr>
      <w:r>
        <w:rPr/>
        <w:t>PURCHASE AND SALE AGREEMENT</w:t>
      </w:r>
    </w:p>
    <w:p>
      <w:pPr>
        <w:pStyle w:val="Normal"/>
        <w:jc w:val="center"/>
        <w:rPr/>
      </w:pPr>
      <w:r>
        <w:rPr/>
      </w:r>
    </w:p>
    <w:p>
      <w:pPr>
        <w:pStyle w:val="Normal"/>
        <w:jc w:val="center"/>
        <w:rPr/>
      </w:pPr>
      <w:r>
        <w:rPr/>
        <w:t>Schedule 4.8</w:t>
      </w:r>
    </w:p>
    <w:p>
      <w:pPr>
        <w:pStyle w:val="Normal"/>
        <w:jc w:val="center"/>
        <w:rPr/>
      </w:pPr>
      <w:r>
        <w:rPr/>
        <w:t>Absence of Certain Changes</w:t>
      </w:r>
    </w:p>
    <w:p>
      <w:pPr>
        <w:pStyle w:val="Normal"/>
        <w:jc w:val="center"/>
        <w:rPr/>
      </w:pPr>
      <w:r>
        <w:rPr/>
      </w:r>
    </w:p>
    <w:p>
      <w:pPr>
        <w:pStyle w:val="Normal"/>
        <w:jc w:val="center"/>
        <w:rPr/>
      </w:pPr>
      <w:r>
        <w:rPr/>
      </w:r>
    </w:p>
    <w:p>
      <w:pPr>
        <w:pStyle w:val="Normal"/>
        <w:rPr/>
      </w:pPr>
      <w:r>
        <w:rPr/>
        <w:t>See Schedules 4.13 and 6.2 for descriptions of certain changes that may occur before the Closing Date.</w:t>
      </w:r>
    </w:p>
    <w:p>
      <w:pPr>
        <w:pStyle w:val="Normal"/>
        <w:rPr/>
      </w:pPr>
      <w:r>
        <w:rPr/>
      </w:r>
    </w:p>
    <w:p>
      <w:pPr>
        <w:pStyle w:val="Normal"/>
        <w:rPr/>
      </w:pPr>
      <w:r>
        <w:rPr/>
        <w:t>On or about December 4, 2000, a rupture occurred in the A/S Line.</w:t>
      </w:r>
    </w:p>
    <w:p>
      <w:pPr>
        <w:pStyle w:val="Normal"/>
        <w:rPr/>
      </w:pPr>
      <w:r>
        <w:rPr/>
      </w:r>
    </w:p>
    <w:p>
      <w:pPr>
        <w:pStyle w:val="Normal"/>
        <w:rPr/>
      </w:pPr>
      <w:r>
        <w:rPr/>
        <w:t>In November, 2000, all employees of the Company were offered a retention bonus payable at the earlier of (i) the Closing Date or (ii) July 1, 2001 to all employees still employed by the Company as of such date. Enron will be responsible for paying the retention bonus to the employees of the Company.</w:t>
      </w:r>
    </w:p>
    <w:p>
      <w:pPr>
        <w:pStyle w:val="Normal"/>
        <w:rPr/>
      </w:pPr>
      <w:r>
        <w:rPr/>
      </w:r>
      <w:r>
        <w:br w:type="page"/>
      </w:r>
    </w:p>
    <w:p>
      <w:pPr>
        <w:pStyle w:val="Normal"/>
        <w:rPr/>
      </w:pPr>
      <w:r>
        <w:rPr/>
        <w:t>PURCHASE AND SALE AGREEMENT</w:t>
      </w:r>
    </w:p>
    <w:p>
      <w:pPr>
        <w:pStyle w:val="Normal"/>
        <w:jc w:val="center"/>
        <w:rPr/>
      </w:pPr>
      <w:r>
        <w:rPr/>
      </w:r>
    </w:p>
    <w:p>
      <w:pPr>
        <w:pStyle w:val="Normal"/>
        <w:jc w:val="center"/>
        <w:rPr/>
      </w:pPr>
      <w:r>
        <w:rPr/>
        <w:t>Schedule 4.9</w:t>
      </w:r>
    </w:p>
    <w:p>
      <w:pPr>
        <w:pStyle w:val="Normal"/>
        <w:jc w:val="center"/>
        <w:rPr/>
      </w:pPr>
      <w:r>
        <w:rPr/>
        <w:t>Tax Matters</w:t>
      </w:r>
    </w:p>
    <w:p>
      <w:pPr>
        <w:pStyle w:val="Normal"/>
        <w:jc w:val="center"/>
        <w:rPr/>
      </w:pPr>
      <w:r>
        <w:rPr/>
      </w:r>
    </w:p>
    <w:p>
      <w:pPr>
        <w:pStyle w:val="Header"/>
        <w:tabs>
          <w:tab w:val="clear" w:pos="4680"/>
          <w:tab w:val="clear" w:pos="9360"/>
        </w:tabs>
        <w:rPr/>
      </w:pPr>
      <w:r>
        <w:rPr/>
        <w:t>Pending Audits</w:t>
      </w:r>
    </w:p>
    <w:tbl>
      <w:tblPr>
        <w:tblW w:w="9576" w:type="dxa"/>
        <w:jc w:val="start"/>
        <w:tblInd w:w="0" w:type="dxa"/>
        <w:tblLayout w:type="fixed"/>
        <w:tblCellMar>
          <w:top w:w="0" w:type="dxa"/>
          <w:start w:w="108" w:type="dxa"/>
          <w:bottom w:w="0" w:type="dxa"/>
          <w:end w:w="108" w:type="dxa"/>
        </w:tblCellMar>
      </w:tblPr>
      <w:tblGrid>
        <w:gridCol w:w="2358"/>
        <w:gridCol w:w="1350"/>
        <w:gridCol w:w="1530"/>
        <w:gridCol w:w="1710"/>
        <w:gridCol w:w="2628"/>
      </w:tblGrid>
      <w:tr>
        <w:trPr/>
        <w:tc>
          <w:tcPr>
            <w:tcW w:w="235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rPr>
                <w:b/>
              </w:rPr>
            </w:pPr>
            <w:r>
              <w:rPr>
                <w:b/>
              </w:rPr>
            </w:r>
          </w:p>
          <w:p>
            <w:pPr>
              <w:pStyle w:val="Header"/>
              <w:tabs>
                <w:tab w:val="clear" w:pos="4680"/>
                <w:tab w:val="clear" w:pos="9360"/>
              </w:tabs>
              <w:rPr>
                <w:b/>
              </w:rPr>
            </w:pPr>
            <w:r>
              <w:rPr>
                <w:b/>
              </w:rPr>
              <w:t>Company</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Tax Type</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Jurisdiction</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Audit Period</w:t>
            </w:r>
          </w:p>
        </w:tc>
        <w:tc>
          <w:tcPr>
            <w:tcW w:w="262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Waived and Extension Date</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Direct Pay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7/93 – 9/97</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7/93 – 5/31/96; extended to 04/20/2001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Sales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4/94 – 9/96</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4/94 – 9/96; extended to 1/22/2001</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6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HPL</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Gas Utility Tax</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Texas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3rd Quarter 97 </w:t>
              <w:noBreakHyphen/>
              <w:t xml:space="preserve"> 1st Qtr 00</w:t>
            </w:r>
          </w:p>
        </w:tc>
        <w:tc>
          <w:tcPr>
            <w:tcW w:w="2628" w:type="dxa"/>
            <w:tcBorders>
              <w:top w:val="single" w:sz="4" w:space="0" w:color="000000"/>
              <w:start w:val="single" w:sz="4" w:space="0" w:color="000000"/>
              <w:bottom w:val="single" w:sz="4" w:space="0" w:color="000000"/>
              <w:end w:val="single" w:sz="4" w:space="0" w:color="000000"/>
            </w:tcBorders>
          </w:tcPr>
          <w:p>
            <w:pPr>
              <w:pStyle w:val="Normal"/>
              <w:rPr/>
            </w:pPr>
            <w:r>
              <w:rPr/>
              <w:t>Status - determining Tax Status of past transaction involving monetization of cushion gas</w:t>
            </w:r>
          </w:p>
        </w:tc>
      </w:tr>
    </w:tbl>
    <w:p>
      <w:pPr>
        <w:pStyle w:val="Normal"/>
        <w:rPr/>
      </w:pPr>
      <w:r>
        <w:rPr/>
      </w:r>
    </w:p>
    <w:p>
      <w:pPr>
        <w:pStyle w:val="Normal"/>
        <w:jc w:val="center"/>
        <w:rPr/>
      </w:pPr>
      <w:r>
        <w:rPr/>
        <w:t>See Schedule 4.11 for disclosure regarding 2 tax appraisal suits in Webb and Zapata Counties.</w:t>
      </w:r>
      <w:r>
        <w:br w:type="page"/>
      </w:r>
    </w:p>
    <w:p>
      <w:pPr>
        <w:pStyle w:val="Normal"/>
        <w:jc w:val="center"/>
        <w:rPr/>
      </w:pPr>
      <w:r>
        <w:rPr/>
        <w:t>PURCHASE AND SALE AGREEMENT</w:t>
      </w:r>
    </w:p>
    <w:p>
      <w:pPr>
        <w:pStyle w:val="Normal"/>
        <w:jc w:val="center"/>
        <w:rPr/>
      </w:pPr>
      <w:r>
        <w:rPr/>
      </w:r>
    </w:p>
    <w:p>
      <w:pPr>
        <w:pStyle w:val="Normal"/>
        <w:jc w:val="center"/>
        <w:rPr/>
      </w:pPr>
      <w:r>
        <w:rPr/>
        <w:t>Schedule 4.10(a)</w:t>
      </w:r>
    </w:p>
    <w:p>
      <w:pPr>
        <w:pStyle w:val="Normal"/>
        <w:jc w:val="center"/>
        <w:rPr/>
      </w:pPr>
      <w:r>
        <w:rPr/>
        <w:t>Compliance with Laws</w:t>
      </w:r>
    </w:p>
    <w:p>
      <w:pPr>
        <w:pStyle w:val="Normal"/>
        <w:jc w:val="center"/>
        <w:rPr/>
      </w:pPr>
      <w:r>
        <w:rPr/>
      </w:r>
    </w:p>
    <w:p>
      <w:pPr>
        <w:pStyle w:val="Normal"/>
        <w:jc w:val="center"/>
        <w:rPr/>
      </w:pPr>
      <w:r>
        <w:rPr/>
      </w:r>
    </w:p>
    <w:p>
      <w:pPr>
        <w:pStyle w:val="Normal"/>
        <w:rPr/>
      </w:pPr>
      <w:r>
        <w:rPr/>
        <w:t>Further responses may be required to the Texas Railroad Commission regarding its audit of HPL’s Annual Report for the 3rd Quarter 1997 - 1st Quarter 2000, to satisfy the RRC’s request for additional information as noted in RRC’s audit letter of 10/17/00. HPL has submitted additional information in a letter dated November 1, 2000 and has yet to receive a reply from the RRC to this latest filing.</w:t>
      </w:r>
      <w:r>
        <w:br w:type="page"/>
      </w:r>
    </w:p>
    <w:p>
      <w:pPr>
        <w:pStyle w:val="Normal"/>
        <w:jc w:val="center"/>
        <w:rPr/>
      </w:pPr>
      <w:r>
        <w:rPr/>
        <w:t>PURCHASE AND SALE AGREEMENT</w:t>
      </w:r>
    </w:p>
    <w:p>
      <w:pPr>
        <w:pStyle w:val="Normal"/>
        <w:jc w:val="center"/>
        <w:rPr/>
      </w:pPr>
      <w:r>
        <w:rPr/>
      </w:r>
    </w:p>
    <w:p>
      <w:pPr>
        <w:pStyle w:val="Normal"/>
        <w:jc w:val="center"/>
        <w:rPr/>
      </w:pPr>
      <w:r>
        <w:rPr/>
        <w:t>Schedule 4.10(b)</w:t>
      </w:r>
    </w:p>
    <w:p>
      <w:pPr>
        <w:pStyle w:val="Normal"/>
        <w:jc w:val="center"/>
        <w:rPr/>
      </w:pPr>
      <w:r>
        <w:rPr/>
        <w:t>Permits</w:t>
      </w:r>
    </w:p>
    <w:p>
      <w:pPr>
        <w:pStyle w:val="Normal"/>
        <w:jc w:val="center"/>
        <w:rPr/>
      </w:pPr>
      <w:r>
        <w:rPr/>
      </w:r>
    </w:p>
    <w:p>
      <w:pPr>
        <w:pStyle w:val="Normal"/>
        <w:rPr/>
      </w:pPr>
      <w:r>
        <w:rPr/>
        <w:t>See item 6 on Schedule 4.7(b).</w:t>
      </w:r>
    </w:p>
    <w:p>
      <w:pPr>
        <w:pStyle w:val="Normal"/>
        <w:jc w:val="center"/>
        <w:rPr/>
      </w:pPr>
      <w:r>
        <w:rPr/>
      </w:r>
      <w:r>
        <w:br w:type="page"/>
      </w:r>
    </w:p>
    <w:p>
      <w:pPr>
        <w:pStyle w:val="Normal"/>
        <w:jc w:val="center"/>
        <w:rPr/>
      </w:pPr>
      <w:r>
        <w:rPr/>
        <w:t xml:space="preserve"> </w:t>
      </w:r>
      <w:r>
        <w:rPr/>
        <w:t>PURCHASE AND SALE AGREEMENT</w:t>
      </w:r>
    </w:p>
    <w:p>
      <w:pPr>
        <w:pStyle w:val="Normal"/>
        <w:jc w:val="center"/>
        <w:rPr/>
      </w:pPr>
      <w:r>
        <w:rPr/>
      </w:r>
    </w:p>
    <w:p>
      <w:pPr>
        <w:pStyle w:val="Normal"/>
        <w:jc w:val="center"/>
        <w:rPr/>
      </w:pPr>
      <w:r>
        <w:rPr/>
        <w:t>Schedule 4.10(c)</w:t>
      </w:r>
    </w:p>
    <w:p>
      <w:pPr>
        <w:pStyle w:val="Normal"/>
        <w:jc w:val="center"/>
        <w:rPr/>
      </w:pPr>
      <w:r>
        <w:rPr/>
        <w:t>Companies Subject to Regulation</w:t>
      </w:r>
    </w:p>
    <w:p>
      <w:pPr>
        <w:pStyle w:val="Normal"/>
        <w:jc w:val="center"/>
        <w:rPr/>
      </w:pPr>
      <w:r>
        <w:rPr/>
      </w:r>
    </w:p>
    <w:p>
      <w:pPr>
        <w:pStyle w:val="Normal"/>
        <w:rPr/>
      </w:pPr>
      <w:r>
        <w:rPr/>
      </w:r>
    </w:p>
    <w:p>
      <w:pPr>
        <w:pStyle w:val="Normal"/>
        <w:rPr/>
      </w:pPr>
      <w:r>
        <w:rPr/>
        <w:t>Transportation of gas in interstate commerce is conducted by the Company pursuant to the safe harbors provided by § 311(a)(ii) of the Natural Gas Policy Act of 1978, as amended and § 284.227 of FERC’s regulations found in 18 CFR 284.227.</w:t>
      </w:r>
      <w:r>
        <w:br w:type="page"/>
      </w:r>
    </w:p>
    <w:p>
      <w:pPr>
        <w:pStyle w:val="Normal"/>
        <w:jc w:val="center"/>
        <w:rPr/>
      </w:pPr>
      <w:r>
        <w:rPr/>
        <w:t>PURCHASE AND SALE AGREEMENT</w:t>
      </w:r>
    </w:p>
    <w:p>
      <w:pPr>
        <w:pStyle w:val="Normal"/>
        <w:jc w:val="center"/>
        <w:rPr/>
      </w:pPr>
      <w:r>
        <w:rPr/>
      </w:r>
    </w:p>
    <w:p>
      <w:pPr>
        <w:pStyle w:val="Normal"/>
        <w:jc w:val="center"/>
        <w:rPr/>
      </w:pPr>
      <w:r>
        <w:rPr/>
        <w:t>Schedule 4.11</w:t>
      </w:r>
    </w:p>
    <w:p>
      <w:pPr>
        <w:pStyle w:val="Normal"/>
        <w:jc w:val="center"/>
        <w:rPr/>
      </w:pPr>
      <w:r>
        <w:rPr/>
        <w:t>Legal Proceedings</w:t>
      </w:r>
    </w:p>
    <w:p>
      <w:pPr>
        <w:pStyle w:val="Normal"/>
        <w:jc w:val="center"/>
        <w:rPr/>
      </w:pPr>
      <w:r>
        <w:rPr/>
      </w:r>
    </w:p>
    <w:p>
      <w:pPr>
        <w:pStyle w:val="Normal"/>
        <w:ind w:hanging="720" w:end="0"/>
        <w:jc w:val="both"/>
        <w:rPr/>
      </w:pPr>
      <w:r>
        <w:rPr/>
        <w:t>A.</w:t>
        <w:tab/>
        <w:t>LITIGATION PENDING OR THREATENED AGAINST OR INVOLVING THE ACQUIRED COMPANIES THAT WILL BE RETAINED BY SELLER</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No.  1999-35747; </w:t>
      </w:r>
      <w:r>
        <w:rPr>
          <w:u w:val="single"/>
        </w:rPr>
        <w:t>HPL v. Specialty Sand Company and SKF Investments</w:t>
      </w:r>
      <w:r>
        <w:rPr/>
        <w:t>; In the 80</w:t>
      </w:r>
      <w:r>
        <w:rPr>
          <w:vertAlign w:val="superscript"/>
        </w:rPr>
        <w:t>th</w:t>
      </w:r>
      <w:r>
        <w:rPr/>
        <w:t xml:space="preserve"> Judicial District Court of Harris County, Texas; HPL has sued Specialty Sand for negligence.  Specialty Sand’s sand and gravel mining operations caused erosion and loss of lateral and subjacent support to an easement containing HPL’s pipeline.  HPL’s claim is for $700,000.</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No. 1998-58066; </w:t>
      </w:r>
      <w:r>
        <w:rPr>
          <w:u w:val="single"/>
        </w:rPr>
        <w:t>Henry Taub, et al. v. EOG, HPL and HPL Resources</w:t>
      </w:r>
      <w:r>
        <w:rPr/>
        <w:t>; In the 80</w:t>
      </w:r>
      <w:r>
        <w:rPr>
          <w:vertAlign w:val="superscript"/>
        </w:rPr>
        <w:t>th</w:t>
      </w:r>
      <w:r>
        <w:rPr/>
        <w:t xml:space="preserve"> District Court of Harris County, Texas; Plaintiffs filed suit against HPL and HPLR for breach of contract, property damage, and trespass as a result of HPL’s alleged abandonment of certain gas wells on their property.  Concluded as to HPL and HPLR with Summary Judgment on November 27, 2000.</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No. 4,135; </w:t>
      </w:r>
      <w:r>
        <w:rPr>
          <w:u w:val="single"/>
        </w:rPr>
        <w:t>Romeo Vela v. EOG and HPL</w:t>
      </w:r>
      <w:r>
        <w:rPr/>
        <w:t>; In the 49</w:t>
      </w:r>
      <w:r>
        <w:rPr>
          <w:vertAlign w:val="superscript"/>
        </w:rPr>
        <w:t>th</w:t>
      </w:r>
      <w:r>
        <w:rPr/>
        <w:t xml:space="preserve"> Judicial District Court of Zapata County, Texas; Plaintiffs allege that HPL and EOG conspired to defraud Plaintiffs of royalties due on certain gas wells.</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MDL Court 99-MD-1293; </w:t>
      </w:r>
      <w:r>
        <w:rPr>
          <w:u w:val="single"/>
        </w:rPr>
        <w:t>United States of America ex rel. Jack Grynberg v. Enron Corp., et al</w:t>
      </w:r>
      <w:r>
        <w:rPr/>
        <w:t>. Plaintiff filed a qui tam suit alleging that HPL mis-measured gas taken from federal lands, thereby defrauding the United States of royalty payments.</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No. 98-11410; </w:t>
      </w:r>
      <w:r>
        <w:rPr>
          <w:u w:val="single"/>
        </w:rPr>
        <w:t>C.C. Kilgore, et al. v. Scurlock Permian Corporation, Scurlock Permian, L.L.C. and HPL Resources Company</w:t>
      </w:r>
      <w:r>
        <w:rPr/>
        <w:t>; In the 165</w:t>
      </w:r>
      <w:r>
        <w:rPr>
          <w:vertAlign w:val="superscript"/>
        </w:rPr>
        <w:t>th</w:t>
      </w:r>
      <w:r>
        <w:rPr/>
        <w:t xml:space="preserve"> Judicial District Court of Harris County, Texas;  HPLR entered into a tolling agreement with plaintiffs and the matter was non-suited without prejudice, pending appeal of a separate action (not involving HPLR).  On June 12, 2000, following an unfavorable judgment in the separate action, plaintiffs filed a petition for review with the Texas Supreme Court. </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No. 35925; </w:t>
      </w:r>
      <w:r>
        <w:rPr>
          <w:u w:val="single"/>
        </w:rPr>
        <w:t>Mustang Exploration Company v. HPL</w:t>
      </w:r>
      <w:r>
        <w:rPr/>
        <w:t>; In the 23</w:t>
      </w:r>
      <w:r>
        <w:rPr>
          <w:vertAlign w:val="superscript"/>
        </w:rPr>
        <w:t>rd</w:t>
      </w:r>
      <w:r>
        <w:rPr/>
        <w:t xml:space="preserve"> Judicial District Court of Wharton County, Texas.  Plaintiff acquired land that was under a lease and easement agreement.  Plaintiff claims HPL has refused to provide gas to Plaintiff according to the terms of the agreement.</w:t>
      </w:r>
    </w:p>
    <w:p>
      <w:pPr>
        <w:pStyle w:val="Normal"/>
        <w:ind w:hanging="720" w:end="0"/>
        <w:jc w:val="both"/>
        <w:rPr/>
      </w:pPr>
      <w:r>
        <w:rPr/>
      </w:r>
    </w:p>
    <w:p>
      <w:pPr>
        <w:pStyle w:val="Normal"/>
        <w:numPr>
          <w:ilvl w:val="0"/>
          <w:numId w:val="3"/>
        </w:numPr>
        <w:tabs>
          <w:tab w:val="clear" w:pos="720"/>
        </w:tabs>
        <w:ind w:hanging="720" w:start="720" w:end="0"/>
        <w:jc w:val="both"/>
        <w:rPr/>
      </w:pPr>
      <w:r>
        <w:rPr>
          <w:u w:val="single"/>
        </w:rPr>
        <w:t>In re The Daniels Corporation Chapter 7 Bankruptcy Proceeding</w:t>
      </w:r>
      <w:r>
        <w:rPr/>
        <w:t>; No. 9933776H17; U. S. Bankruptcy Court, S.D. of Texas, Houston Division; The Daniels Corporation filed a Chapter 7 Bankruptcy.  HPL is a creditor.  A proof of claim was filed on behalf of HPL on December 17, 1999.</w:t>
      </w:r>
    </w:p>
    <w:p>
      <w:pPr>
        <w:pStyle w:val="Normal"/>
        <w:jc w:val="both"/>
        <w:rPr/>
      </w:pPr>
      <w:r>
        <w:rPr/>
      </w:r>
    </w:p>
    <w:p>
      <w:pPr>
        <w:pStyle w:val="Normal"/>
        <w:jc w:val="both"/>
        <w:rPr/>
      </w:pPr>
      <w:r>
        <w:rPr/>
      </w:r>
    </w:p>
    <w:p>
      <w:pPr>
        <w:pStyle w:val="Normal"/>
        <w:numPr>
          <w:ilvl w:val="0"/>
          <w:numId w:val="3"/>
        </w:numPr>
        <w:tabs>
          <w:tab w:val="clear" w:pos="720"/>
        </w:tabs>
        <w:ind w:hanging="720" w:start="720" w:end="0"/>
        <w:jc w:val="both"/>
        <w:rPr/>
      </w:pPr>
      <w:r>
        <w:rPr/>
        <w:t xml:space="preserve">No. 96-25269-C-11; </w:t>
      </w:r>
      <w:r>
        <w:rPr>
          <w:u w:val="single"/>
        </w:rPr>
        <w:t>In re Midcon Offshore, Inc.</w:t>
      </w:r>
      <w:r>
        <w:rPr/>
        <w:t>; In the United States Bankruptcy Court, Corpus Christi Division, Texas; HPL filed a proof of claim in excess $79,500</w:t>
      </w:r>
    </w:p>
    <w:p>
      <w:pPr>
        <w:pStyle w:val="Normal"/>
        <w:ind w:hanging="720" w:end="0"/>
        <w:jc w:val="both"/>
        <w:rPr/>
      </w:pPr>
      <w:r>
        <w:rPr/>
      </w:r>
    </w:p>
    <w:p>
      <w:pPr>
        <w:pStyle w:val="Normal"/>
        <w:numPr>
          <w:ilvl w:val="0"/>
          <w:numId w:val="3"/>
        </w:numPr>
        <w:tabs>
          <w:tab w:val="clear" w:pos="720"/>
        </w:tabs>
        <w:ind w:hanging="720" w:start="720" w:end="0"/>
        <w:jc w:val="both"/>
        <w:rPr/>
      </w:pPr>
      <w:r>
        <w:rPr/>
        <w:t xml:space="preserve">No. 2-10,318; </w:t>
      </w:r>
      <w:r>
        <w:rPr>
          <w:u w:val="single"/>
        </w:rPr>
        <w:t>K&amp;N Perforators, Inc. v. PH Exploration Inc. and HPL, Garnishee</w:t>
      </w:r>
      <w:r>
        <w:rPr/>
        <w:t>; In the County Court at Law, Number 2, Victoria County, Texas; This is a post-judgment garnishment filed by K&amp;N  Perforators.  KN holds a judgment against PH Exploration and has alleged that HPL holds funds and/or other property of PH.  Plaintiff seeks $12,575.90, together with interest, costs and post-judgment interest at the rate of 10% per year.</w:t>
      </w:r>
    </w:p>
    <w:p>
      <w:pPr>
        <w:pStyle w:val="Normal"/>
        <w:jc w:val="both"/>
        <w:rPr/>
      </w:pPr>
      <w:r>
        <w:rPr/>
      </w:r>
    </w:p>
    <w:p>
      <w:pPr>
        <w:pStyle w:val="Normal"/>
        <w:numPr>
          <w:ilvl w:val="0"/>
          <w:numId w:val="3"/>
        </w:numPr>
        <w:tabs>
          <w:tab w:val="clear" w:pos="720"/>
        </w:tabs>
        <w:ind w:hanging="720" w:start="720" w:end="0"/>
        <w:jc w:val="both"/>
        <w:rPr/>
      </w:pPr>
      <w:r>
        <w:rPr/>
        <w:t xml:space="preserve">No. 99C30; </w:t>
      </w:r>
      <w:r>
        <w:rPr>
          <w:u w:val="single"/>
        </w:rPr>
        <w:t>Quinque Operating Company, et al. v. Gas Pipelines, et al</w:t>
      </w:r>
      <w:r>
        <w:rPr/>
        <w:t>; In the District Court of Stevens County, Kansas; Plaintiffs allege that defendants purposefully and unlawfully under evaluated natural gas that was obtained from Plaintiffs.</w:t>
      </w:r>
    </w:p>
    <w:p>
      <w:pPr>
        <w:pStyle w:val="Normal"/>
        <w:jc w:val="both"/>
        <w:rPr/>
      </w:pPr>
      <w:r>
        <w:rPr/>
      </w:r>
    </w:p>
    <w:p>
      <w:pPr>
        <w:pStyle w:val="Normal"/>
        <w:numPr>
          <w:ilvl w:val="0"/>
          <w:numId w:val="3"/>
        </w:numPr>
        <w:tabs>
          <w:tab w:val="clear" w:pos="720"/>
        </w:tabs>
        <w:ind w:hanging="720" w:start="720" w:end="0"/>
        <w:jc w:val="both"/>
        <w:rPr/>
      </w:pPr>
      <w:r>
        <w:rPr/>
        <w:t>Pintail matter; no suit has been filed, but demand has been made on HPL.  Pintail is alleging that HPL breached its contract with Pintail.  A settlement offer has been extended but has not been accepted, and Pintail has given notice of termination under the contract.</w:t>
      </w:r>
    </w:p>
    <w:p>
      <w:pPr>
        <w:pStyle w:val="Normal"/>
        <w:jc w:val="both"/>
        <w:rPr/>
      </w:pPr>
      <w:r>
        <w:rPr/>
      </w:r>
    </w:p>
    <w:p>
      <w:pPr>
        <w:pStyle w:val="Normal"/>
        <w:numPr>
          <w:ilvl w:val="0"/>
          <w:numId w:val="3"/>
        </w:numPr>
        <w:tabs>
          <w:tab w:val="clear" w:pos="720"/>
        </w:tabs>
        <w:ind w:hanging="720" w:start="720" w:end="0"/>
        <w:jc w:val="both"/>
        <w:rPr/>
      </w:pPr>
      <w:r>
        <w:rPr>
          <w:u w:val="single"/>
        </w:rPr>
        <w:t>Margarita Sanchez de Uribe, et al v. Needmore Ranch, Inc.</w:t>
      </w:r>
      <w:r>
        <w:rPr/>
        <w:t xml:space="preserve"> (including HPL); In the 4</w:t>
      </w:r>
      <w:r>
        <w:rPr>
          <w:vertAlign w:val="superscript"/>
        </w:rPr>
        <w:t>th</w:t>
      </w:r>
      <w:r>
        <w:rPr/>
        <w:t xml:space="preserve"> Supreme Judicial District Court of Appeals, Texas; Dispute over ownership and royalty interest of Bracilito Ranch in Zapata County, Texas.  </w:t>
      </w:r>
    </w:p>
    <w:p>
      <w:pPr>
        <w:pStyle w:val="Normal"/>
        <w:jc w:val="both"/>
        <w:rPr/>
      </w:pPr>
      <w:r>
        <w:rPr/>
      </w:r>
    </w:p>
    <w:p>
      <w:pPr>
        <w:pStyle w:val="Normal"/>
        <w:numPr>
          <w:ilvl w:val="0"/>
          <w:numId w:val="3"/>
        </w:numPr>
        <w:tabs>
          <w:tab w:val="clear" w:pos="720"/>
        </w:tabs>
        <w:ind w:hanging="720" w:start="720" w:end="0"/>
        <w:jc w:val="both"/>
        <w:rPr/>
      </w:pPr>
      <w:r>
        <w:rPr/>
        <w:t>Romasdale LLC gas purchase agreement; Romasdale alleged HPL breached its contract resulting in a claim of $40,000; pursuant to the terms of the contract, Romasdale has requested arbitration.</w:t>
      </w:r>
    </w:p>
    <w:p>
      <w:pPr>
        <w:pStyle w:val="BodyText"/>
        <w:rPr/>
      </w:pPr>
      <w:r>
        <w:rPr/>
      </w:r>
    </w:p>
    <w:p>
      <w:pPr>
        <w:pStyle w:val="Normal"/>
        <w:ind w:hanging="720" w:start="720" w:end="0"/>
        <w:jc w:val="both"/>
        <w:rPr/>
      </w:pPr>
      <w:r>
        <w:rPr/>
        <w:t>14.</w:t>
        <w:tab/>
        <w:t xml:space="preserve">No. 121-B; </w:t>
      </w:r>
      <w:r>
        <w:rPr>
          <w:u w:val="single"/>
        </w:rPr>
        <w:t>Houston Pipe Line Company and Intrastate Gathering Corporation v. La Mesa Land &amp; Cattle Company and First City Bank of Corpus Christi</w:t>
      </w:r>
      <w:r>
        <w:rPr/>
        <w:t>; In the 156th Judicial District Court, Live Oak County, Texas;  This is a condemnation matter that was filed in 1985.  HPL sought to condemn certain lands owned by La Mesa Land &amp; Cattle Co. for construction of a pipeline.  Special commissioners were appointed, and a hearing held.  The special commissioners entered an award of damages to the landowners of $44,000.  HPL deposited $44,000 into the registry of the court, and took possession of the property and constructed the pipeline.  La Mesa Land &amp; Cattle Co. objected to the award as inadequate, but withdrew the $44,000 from the registry of the court.  La Mesa's objection has never been ruled on.  HPL and Insurance Company of North America have posted a bond to cover any additional damages which might be awarded based upon the objection.  A final judgment of condemnation should be entered upon a ruling or dismissal of the objection.</w:t>
      </w:r>
    </w:p>
    <w:p>
      <w:pPr>
        <w:pStyle w:val="Normal"/>
        <w:jc w:val="both"/>
        <w:rPr/>
      </w:pPr>
      <w:r>
        <w:rPr/>
      </w:r>
    </w:p>
    <w:p>
      <w:pPr>
        <w:pStyle w:val="Normal"/>
        <w:ind w:hanging="720" w:start="720" w:end="0"/>
        <w:jc w:val="both"/>
        <w:rPr/>
      </w:pPr>
      <w:r>
        <w:rPr/>
        <w:t>15.</w:t>
        <w:tab/>
        <w:t xml:space="preserve">No. H-98-3982 (consolidated); </w:t>
      </w:r>
      <w:r>
        <w:rPr>
          <w:u w:val="single"/>
        </w:rPr>
        <w:t>Air Liquide American Corporation, et al. v. United States Army Corps of Engineers</w:t>
      </w:r>
      <w:r>
        <w:rPr/>
        <w:t>; In the United States District Court for the Southern District of Texas; Houston Division; Plaintiffs, including HPL, initiated suit against Defendants requesting a declaratory judgment that the Port of Houston acted improperly under the Texas Water Code in requesting Plaintiffs to bear costs of the removal of Plaintiffs’ property in a deepening project. Plaintiffs are also seeking declaratory judgment that the notices to remove the pipelines are improper. (If as a result of litigation with the Port of Houston a monetary amount is granted to, or recovered by HPL, such proceeds will be paid to the Port of Houston, to pay any right of way rentals that are then due and owing to the Port of Houston.  Any remaining proceeds from the litigation will belong to Seller.)</w:t>
      </w:r>
    </w:p>
    <w:p>
      <w:pPr>
        <w:pStyle w:val="Normal"/>
        <w:ind w:hanging="720" w:start="720" w:end="0"/>
        <w:jc w:val="both"/>
        <w:rPr/>
      </w:pPr>
      <w:r>
        <w:rPr/>
      </w:r>
    </w:p>
    <w:p>
      <w:pPr>
        <w:pStyle w:val="Normal"/>
        <w:ind w:hanging="720" w:start="720" w:end="0"/>
        <w:jc w:val="both"/>
        <w:rPr/>
      </w:pPr>
      <w:r>
        <w:rPr/>
        <w:t>16.</w:t>
        <w:tab/>
        <w:t>On December 18, 2000, HPL filed an arbitration demand against Shanghai Energy Corporation for recovery of approximately $118,900 of unpaid invoices for gas lift sales plus attorneys fees and interest.</w:t>
      </w:r>
    </w:p>
    <w:p>
      <w:pPr>
        <w:pStyle w:val="Normal"/>
        <w:ind w:hanging="720" w:start="720" w:end="0"/>
        <w:jc w:val="both"/>
        <w:rPr/>
      </w:pPr>
      <w:r>
        <w:rPr/>
      </w:r>
    </w:p>
    <w:p>
      <w:pPr>
        <w:pStyle w:val="Normal"/>
        <w:ind w:hanging="720" w:start="720" w:end="0"/>
        <w:jc w:val="both"/>
        <w:rPr/>
      </w:pPr>
      <w:r>
        <w:rPr/>
        <w:t>17.</w:t>
        <w:tab/>
        <w:t>Potential claims by Plaintiffs Adrienne Bernard and Roberta Bernard resulting from rupture of the A/S Line.</w:t>
      </w:r>
    </w:p>
    <w:p>
      <w:pPr>
        <w:pStyle w:val="Normal"/>
        <w:jc w:val="both"/>
        <w:rPr/>
      </w:pPr>
      <w:r>
        <w:rPr/>
      </w:r>
    </w:p>
    <w:p>
      <w:pPr>
        <w:pStyle w:val="Normal"/>
        <w:ind w:hanging="720" w:end="0"/>
        <w:jc w:val="both"/>
        <w:rPr/>
      </w:pPr>
      <w:r>
        <w:rPr/>
        <w:t>B.</w:t>
        <w:tab/>
        <w:t xml:space="preserve">LITIGATION PENDING OR THREATENED AGAINST OR INVOLVING THE ACQUIRED COMPANIES THAT WILL </w:t>
      </w:r>
      <w:r>
        <w:rPr>
          <w:u w:val="single"/>
        </w:rPr>
        <w:t>NOT</w:t>
      </w:r>
      <w:r>
        <w:rPr/>
        <w:t xml:space="preserve"> BE RETAINED BY SELLER</w:t>
      </w:r>
    </w:p>
    <w:p>
      <w:pPr>
        <w:pStyle w:val="Normal"/>
        <w:ind w:hanging="720" w:end="0"/>
        <w:jc w:val="both"/>
        <w:rPr/>
      </w:pPr>
      <w:r>
        <w:rPr/>
      </w:r>
    </w:p>
    <w:p>
      <w:pPr>
        <w:pStyle w:val="Normal"/>
        <w:numPr>
          <w:ilvl w:val="0"/>
          <w:numId w:val="20"/>
        </w:numPr>
        <w:ind w:hanging="720" w:start="720" w:end="0"/>
        <w:jc w:val="both"/>
        <w:rPr/>
      </w:pPr>
      <w:r>
        <w:rPr/>
        <w:t xml:space="preserve">No. 13634BH00; </w:t>
      </w:r>
      <w:r>
        <w:rPr>
          <w:u w:val="single"/>
        </w:rPr>
        <w:t xml:space="preserve">HPL v. BP Amoco Chemical Company; </w:t>
      </w:r>
      <w:r>
        <w:rPr/>
        <w:t>In the 23</w:t>
      </w:r>
      <w:r>
        <w:rPr>
          <w:vertAlign w:val="superscript"/>
        </w:rPr>
        <w:t>rd</w:t>
      </w:r>
      <w:r>
        <w:rPr/>
        <w:t xml:space="preserve"> Judicial District Court of Brazoria County, Texas; HPL filed suit against BP Amoco Chemical Company for construction of an easement and a declaration that HPL is entitled to lay and operate a new pipeline in accordance with the terms of an existing easement agreement.</w:t>
      </w:r>
    </w:p>
    <w:p>
      <w:pPr>
        <w:pStyle w:val="Normal"/>
        <w:ind w:hanging="720" w:end="0"/>
        <w:jc w:val="both"/>
        <w:rPr/>
      </w:pPr>
      <w:r>
        <w:rPr/>
      </w:r>
    </w:p>
    <w:p>
      <w:pPr>
        <w:pStyle w:val="Normal"/>
        <w:numPr>
          <w:ilvl w:val="0"/>
          <w:numId w:val="20"/>
        </w:numPr>
        <w:ind w:hanging="720" w:start="720" w:end="0"/>
        <w:jc w:val="both"/>
        <w:rPr/>
      </w:pPr>
      <w:r>
        <w:rPr/>
        <w:t xml:space="preserve">No. 32,305-99-8; </w:t>
      </w:r>
      <w:r>
        <w:rPr>
          <w:u w:val="single"/>
        </w:rPr>
        <w:t>Ralph Nerren v. Thomas Arthur Wallace, II, Beverly A. Wallace and HPL</w:t>
      </w:r>
      <w:r>
        <w:rPr/>
        <w:t>; In the District Court of Angelina County, Texas; Plaintiffs have filed suit seeking an easement and/or right-of-way.  (Settlement discussions underway.)</w:t>
      </w:r>
    </w:p>
    <w:p>
      <w:pPr>
        <w:pStyle w:val="Normal"/>
        <w:ind w:hanging="720" w:end="0"/>
        <w:jc w:val="both"/>
        <w:rPr/>
      </w:pPr>
      <w:r>
        <w:rPr/>
      </w:r>
    </w:p>
    <w:p>
      <w:pPr>
        <w:pStyle w:val="Normal"/>
        <w:numPr>
          <w:ilvl w:val="0"/>
          <w:numId w:val="20"/>
        </w:numPr>
        <w:ind w:hanging="720" w:start="720" w:end="0"/>
        <w:jc w:val="both"/>
        <w:rPr/>
      </w:pPr>
      <w:r>
        <w:rPr/>
        <w:t xml:space="preserve">No. 18378; </w:t>
      </w:r>
      <w:r>
        <w:rPr>
          <w:u w:val="single"/>
        </w:rPr>
        <w:t>HPL v. Kinney Fitzgerald, et al</w:t>
      </w:r>
      <w:r>
        <w:rPr/>
        <w:t>; In the 253</w:t>
      </w:r>
      <w:r>
        <w:rPr>
          <w:vertAlign w:val="superscript"/>
        </w:rPr>
        <w:t>rd</w:t>
      </w:r>
      <w:r>
        <w:rPr/>
        <w:t xml:space="preserve"> Judicial District Court of Chambers County, Texas; Defendants own the fee simple estate where HPL plans to construct a natural gas pipeline.  HPL specifically alleges that it cannot agree and has failed to agree with Defendants on the value of the easement and damages.  Hearing is set for January 24, 2001 and negotiations continue.</w:t>
      </w:r>
    </w:p>
    <w:p>
      <w:pPr>
        <w:pStyle w:val="Normal"/>
        <w:jc w:val="both"/>
        <w:rPr/>
      </w:pPr>
      <w:r>
        <w:rPr/>
      </w:r>
    </w:p>
    <w:p>
      <w:pPr>
        <w:pStyle w:val="Normal"/>
        <w:numPr>
          <w:ilvl w:val="0"/>
          <w:numId w:val="20"/>
        </w:numPr>
        <w:ind w:hanging="720" w:start="720" w:end="0"/>
        <w:jc w:val="both"/>
        <w:rPr/>
      </w:pPr>
      <w:r>
        <w:rPr/>
        <w:t xml:space="preserve">No. 47534; </w:t>
      </w:r>
      <w:r>
        <w:rPr>
          <w:u w:val="single"/>
        </w:rPr>
        <w:t xml:space="preserve"> HPL v. Kennard Stewart &amp; Sherry Stewart</w:t>
      </w:r>
      <w:r>
        <w:rPr/>
        <w:t>; In the Probate Court of Galveston County, Texas; Defendants own the fee simple estate where HPL plans to construct a natural gas pipeline.  HPL specifically alleges that it cannot agree and has failed to agree with Defendants on the value of the easement and damages.</w:t>
      </w:r>
    </w:p>
    <w:p>
      <w:pPr>
        <w:pStyle w:val="Normal"/>
        <w:jc w:val="both"/>
        <w:rPr/>
      </w:pPr>
      <w:r>
        <w:rPr/>
      </w:r>
    </w:p>
    <w:p>
      <w:pPr>
        <w:pStyle w:val="Normal"/>
        <w:numPr>
          <w:ilvl w:val="0"/>
          <w:numId w:val="20"/>
        </w:numPr>
        <w:ind w:hanging="720" w:start="720" w:end="0"/>
        <w:jc w:val="both"/>
        <w:rPr/>
      </w:pPr>
      <w:r>
        <w:rPr/>
        <w:t xml:space="preserve">Mid-Texas eminent domain cases: </w:t>
      </w:r>
    </w:p>
    <w:p>
      <w:pPr>
        <w:pStyle w:val="Normal"/>
        <w:jc w:val="both"/>
        <w:rPr/>
      </w:pPr>
      <w:r>
        <w:rPr/>
      </w:r>
    </w:p>
    <w:p>
      <w:pPr>
        <w:pStyle w:val="Normal"/>
        <w:numPr>
          <w:ilvl w:val="1"/>
          <w:numId w:val="20"/>
        </w:numPr>
        <w:jc w:val="both"/>
        <w:rPr/>
      </w:pPr>
      <w:r>
        <w:rPr/>
        <w:t xml:space="preserve">No. 95-19072; </w:t>
      </w:r>
      <w:r>
        <w:rPr>
          <w:u w:val="single"/>
        </w:rPr>
        <w:t>MidTexas Pipeline Company v. John C. Mercier and W. W. Mercier;</w:t>
      </w:r>
      <w:r>
        <w:rPr/>
        <w:t xml:space="preserve"> In the 25</w:t>
      </w:r>
      <w:r>
        <w:rPr>
          <w:vertAlign w:val="superscript"/>
        </w:rPr>
        <w:t>th</w:t>
      </w:r>
      <w:r>
        <w:rPr/>
        <w:t xml:space="preserve"> Judicial District Court of Gonzales County, Texas </w:t>
      </w:r>
    </w:p>
    <w:p>
      <w:pPr>
        <w:pStyle w:val="Normal"/>
        <w:numPr>
          <w:ilvl w:val="1"/>
          <w:numId w:val="20"/>
        </w:numPr>
        <w:jc w:val="both"/>
        <w:rPr/>
      </w:pPr>
      <w:r>
        <w:rPr/>
        <w:t xml:space="preserve">No. 95-18965; </w:t>
      </w:r>
      <w:r>
        <w:rPr>
          <w:u w:val="single"/>
        </w:rPr>
        <w:t>MidTexas Pipeline Company v. W. W. Mercier, Betty J. Mercier and Yoakum Federal Savings and Loan Association</w:t>
      </w:r>
      <w:r>
        <w:rPr/>
        <w:t>; In the 25</w:t>
      </w:r>
      <w:r>
        <w:rPr>
          <w:vertAlign w:val="superscript"/>
        </w:rPr>
        <w:t>th</w:t>
      </w:r>
      <w:r>
        <w:rPr/>
        <w:t xml:space="preserve"> Judicial District Court of Gonzales County, Texas </w:t>
      </w:r>
    </w:p>
    <w:p>
      <w:pPr>
        <w:pStyle w:val="Normal"/>
        <w:numPr>
          <w:ilvl w:val="1"/>
          <w:numId w:val="20"/>
        </w:numPr>
        <w:jc w:val="both"/>
        <w:rPr/>
      </w:pPr>
      <w:r>
        <w:rPr/>
        <w:t xml:space="preserve">No. 95-18990; </w:t>
      </w:r>
      <w:r>
        <w:rPr>
          <w:u w:val="single"/>
        </w:rPr>
        <w:t>MidTexas Pipeline Company v. Cusack Ranch Corporation</w:t>
      </w:r>
      <w:r>
        <w:rPr/>
        <w:t>; In the 25</w:t>
      </w:r>
      <w:r>
        <w:rPr>
          <w:vertAlign w:val="superscript"/>
        </w:rPr>
        <w:t>th</w:t>
      </w:r>
      <w:r>
        <w:rPr/>
        <w:t xml:space="preserve"> Judicial District Court of Gonzales County, Texas </w:t>
      </w:r>
    </w:p>
    <w:p>
      <w:pPr>
        <w:pStyle w:val="Normal"/>
        <w:numPr>
          <w:ilvl w:val="1"/>
          <w:numId w:val="20"/>
        </w:numPr>
        <w:jc w:val="both"/>
        <w:rPr/>
      </w:pPr>
      <w:r>
        <w:rPr/>
        <w:t xml:space="preserve">No. 95-18982; </w:t>
      </w:r>
      <w:r>
        <w:rPr>
          <w:u w:val="single"/>
        </w:rPr>
        <w:t xml:space="preserve">MidTexas Pipeline Company v. Michael F. Cusack, Trustee of the Michael F. Cusack Special Trust No. One; </w:t>
      </w:r>
      <w:r>
        <w:rPr/>
        <w:t>In the 25</w:t>
      </w:r>
      <w:r>
        <w:rPr>
          <w:vertAlign w:val="superscript"/>
        </w:rPr>
        <w:t>th</w:t>
      </w:r>
      <w:r>
        <w:rPr/>
        <w:t xml:space="preserve"> Judicial District Court of Gonzales County, Texas  </w:t>
      </w:r>
    </w:p>
    <w:p>
      <w:pPr>
        <w:pStyle w:val="Normal"/>
        <w:numPr>
          <w:ilvl w:val="1"/>
          <w:numId w:val="20"/>
        </w:numPr>
        <w:jc w:val="both"/>
        <w:rPr/>
      </w:pPr>
      <w:r>
        <w:rPr/>
        <w:t xml:space="preserve">No. 18396; </w:t>
      </w:r>
      <w:r>
        <w:rPr>
          <w:u w:val="single"/>
        </w:rPr>
        <w:t>MidTexas Pipeline Company vs. Walter Roy Wright, Jr. and Robbie V. Wright;</w:t>
      </w:r>
      <w:r>
        <w:rPr/>
        <w:t xml:space="preserve"> In the 25</w:t>
      </w:r>
      <w:r>
        <w:rPr>
          <w:vertAlign w:val="superscript"/>
        </w:rPr>
        <w:t>th</w:t>
      </w:r>
      <w:r>
        <w:rPr/>
        <w:t xml:space="preserve"> Judicial District Court of Colorado County, Texas </w:t>
      </w:r>
    </w:p>
    <w:p>
      <w:pPr>
        <w:pStyle w:val="Normal"/>
        <w:numPr>
          <w:ilvl w:val="1"/>
          <w:numId w:val="20"/>
        </w:numPr>
        <w:jc w:val="both"/>
        <w:rPr/>
      </w:pPr>
      <w:r>
        <w:rPr/>
        <w:t xml:space="preserve">No. 18398; </w:t>
      </w:r>
      <w:r>
        <w:rPr>
          <w:u w:val="single"/>
        </w:rPr>
        <w:t>MidTexas Pipeline Company vs. Walter Roy Wright, III;</w:t>
      </w:r>
      <w:r>
        <w:rPr/>
        <w:t xml:space="preserve"> In the 25</w:t>
      </w:r>
      <w:r>
        <w:rPr>
          <w:vertAlign w:val="superscript"/>
        </w:rPr>
        <w:t>th</w:t>
      </w:r>
      <w:r>
        <w:rPr/>
        <w:t xml:space="preserve"> Judicial District Court of Colorado County, Texas </w:t>
      </w:r>
    </w:p>
    <w:p>
      <w:pPr>
        <w:pStyle w:val="Normal"/>
        <w:numPr>
          <w:ilvl w:val="1"/>
          <w:numId w:val="20"/>
        </w:numPr>
        <w:jc w:val="both"/>
        <w:rPr/>
      </w:pPr>
      <w:r>
        <w:rPr/>
        <w:t xml:space="preserve">No. 18395; </w:t>
      </w:r>
      <w:r>
        <w:rPr>
          <w:u w:val="single"/>
        </w:rPr>
        <w:t>MidTexas Pipeline Company vs. Wilbert O. Dernehl, Jr. and The First National Bank of Bellville;</w:t>
      </w:r>
      <w:r>
        <w:rPr/>
        <w:t xml:space="preserve"> In the 25</w:t>
      </w:r>
      <w:r>
        <w:rPr>
          <w:vertAlign w:val="superscript"/>
        </w:rPr>
        <w:t>th</w:t>
      </w:r>
      <w:r>
        <w:rPr/>
        <w:t xml:space="preserve"> Judicial District Court of Colorado County, Texas</w:t>
      </w:r>
    </w:p>
    <w:p>
      <w:pPr>
        <w:pStyle w:val="Normal"/>
        <w:ind w:hanging="720" w:end="0"/>
        <w:jc w:val="both"/>
        <w:rPr/>
      </w:pPr>
      <w:r>
        <w:rPr/>
      </w:r>
    </w:p>
    <w:p>
      <w:pPr>
        <w:pStyle w:val="Normal"/>
        <w:ind w:hanging="720" w:start="720" w:end="0"/>
        <w:jc w:val="both"/>
        <w:rPr/>
      </w:pPr>
      <w:r>
        <w:rPr/>
        <w:t>6.</w:t>
        <w:tab/>
        <w:t xml:space="preserve">Case No. 4828; </w:t>
      </w:r>
      <w:r>
        <w:rPr>
          <w:u w:val="single"/>
        </w:rPr>
        <w:t>Zapata County and Zapata County Independent School District v. Ms. Rosalva Guerra, in her official capacity as Zapata County Chief Appraiser, et al. (including HPL)</w:t>
      </w:r>
      <w:r>
        <w:rPr/>
        <w:t xml:space="preserve">; In the 48th Judicial District Court, Zapata County, Texas.  Taxing authorities have sued tax appraiser and various pipeline owners, drilling companies, and producers claiming that tax appraiser has undervalued tangible personal property, including pipelines, compressors, drilling equipment and gathering lines within county to the detriment of taxing authorities.  Relief sought for tax years 1998, 1999 and 2000.  Unspecified amount of damages sought, as well as request for reappraisal of values on tax rolls.  HPL answered 11/08/00 with general denial and specific denial of authorities’ right to look back beyond current tax year to contest appraisals.  Discovery recently served on HPL with responses due 1/15/01.  (Note: Claims for Taxes allegedly due for periods prior to the Closing Date are covered by Seller’s obligations under Section 7.8(b)(vi) and Article 11 of the Purchase and Sale Agreement.  In addition, Seller must approve of any settlement agreement in such case pursuant to Article 11 of the Purchase and Sale Agreement.)  </w:t>
      </w:r>
    </w:p>
    <w:p>
      <w:pPr>
        <w:pStyle w:val="Normal"/>
        <w:ind w:hanging="720" w:start="720" w:end="0"/>
        <w:jc w:val="both"/>
        <w:rPr/>
      </w:pPr>
      <w:r>
        <w:rPr/>
      </w:r>
    </w:p>
    <w:p>
      <w:pPr>
        <w:pStyle w:val="Normal"/>
        <w:ind w:hanging="720" w:start="720" w:end="0"/>
        <w:jc w:val="both"/>
        <w:rPr/>
      </w:pPr>
      <w:r>
        <w:rPr/>
        <w:t>7.</w:t>
        <w:tab/>
        <w:t xml:space="preserve">Case No. 2000CVQ000819D2; </w:t>
      </w:r>
      <w:r>
        <w:rPr>
          <w:u w:val="single"/>
        </w:rPr>
        <w:t>Webb County, et al., v. Mr. Sergio Delgado in his capacity as Chief Appraiser for Webb County, et al. (including HPL)</w:t>
      </w:r>
      <w:r>
        <w:rPr/>
        <w:t xml:space="preserve">; In the 49th Judicial District Court, Webb County, Texas.  Companion case to Zapata County case—same allegations.  HPL filed answer on 10/19/00.  Discovery recently served and due 1/15/01.  (Note: Claims for Taxes allegedly due for periods prior to the Closing Date are covered by Seller’s obligations under Section 7.8(b)(vi) and Article 11 of the Purchase and Sale Agreement.  In addition, Seller must approve of any settlement agreement in such case pursuant to Article 11 of the Purchase and Sale Agreement.)  </w:t>
      </w:r>
      <w:r>
        <w:br w:type="page"/>
      </w:r>
    </w:p>
    <w:p>
      <w:pPr>
        <w:pStyle w:val="Normal"/>
        <w:jc w:val="center"/>
        <w:rPr/>
      </w:pPr>
      <w:r>
        <w:rPr/>
        <w:t>PURCHASE AND SALE AGREEMENT</w:t>
      </w:r>
    </w:p>
    <w:p>
      <w:pPr>
        <w:pStyle w:val="Normal"/>
        <w:jc w:val="center"/>
        <w:rPr/>
      </w:pPr>
      <w:r>
        <w:rPr/>
      </w:r>
    </w:p>
    <w:p>
      <w:pPr>
        <w:pStyle w:val="Normal"/>
        <w:jc w:val="center"/>
        <w:rPr/>
      </w:pPr>
      <w:r>
        <w:rPr/>
        <w:t>Schedule 4.12(a)(i)</w:t>
      </w:r>
    </w:p>
    <w:p>
      <w:pPr>
        <w:pStyle w:val="Normal"/>
        <w:jc w:val="center"/>
        <w:rPr/>
      </w:pPr>
      <w:r>
        <w:rPr/>
        <w:t>Title</w:t>
      </w:r>
    </w:p>
    <w:p>
      <w:pPr>
        <w:pStyle w:val="Normal"/>
        <w:jc w:val="center"/>
        <w:rPr/>
      </w:pPr>
      <w:r>
        <w:rPr/>
      </w:r>
    </w:p>
    <w:p>
      <w:pPr>
        <w:pStyle w:val="Normal"/>
        <w:jc w:val="both"/>
        <w:rPr/>
      </w:pPr>
      <w:r>
        <w:rPr/>
      </w:r>
    </w:p>
    <w:p>
      <w:pPr>
        <w:pStyle w:val="Normal"/>
        <w:numPr>
          <w:ilvl w:val="0"/>
          <w:numId w:val="5"/>
        </w:numPr>
        <w:jc w:val="both"/>
        <w:rPr/>
      </w:pPr>
      <w:r>
        <w:rPr/>
        <w:t>The Excluded Assets will be transferred or assigned by HPL to Seller or one or more affiliates of Seller (or, with respect to certain subsidiaries associated with certain monetizations that will be unwound, dissolved) after the Balance Sheet Date and prior to Closing.</w:t>
      </w:r>
    </w:p>
    <w:p>
      <w:pPr>
        <w:pStyle w:val="Normal"/>
        <w:jc w:val="both"/>
        <w:rPr/>
      </w:pPr>
      <w:r>
        <w:rPr/>
      </w:r>
    </w:p>
    <w:p>
      <w:pPr>
        <w:pStyle w:val="Normal"/>
        <w:numPr>
          <w:ilvl w:val="0"/>
          <w:numId w:val="5"/>
        </w:numPr>
        <w:jc w:val="both"/>
        <w:rPr/>
      </w:pPr>
      <w:r>
        <w:rPr/>
        <w:t>Lien on HPL’s capacity to direct the contracting of the “HPL Capacity” (as defined in the MTP Partnership Agreement (defined below)) under, and in accordance with, Section 7.02(c) of that certain Amended and Restated General Partnership Agreement of MidTexas Pipeline Company, dated as of August 19, 1994, between the Debtor and PG&amp;E Gas Transmission Teco, Inc., as amended by the Amendment to General Partnership Agreement, dated June 30, 1998 (the “MTP Partnership Agreement”).</w:t>
      </w:r>
    </w:p>
    <w:p>
      <w:pPr>
        <w:pStyle w:val="Normal"/>
        <w:ind w:start="720" w:end="0"/>
        <w:jc w:val="both"/>
        <w:rPr/>
      </w:pPr>
      <w:r>
        <w:rPr/>
        <w:t>(This lien will be released in connection with the unwind of the MidTexas monetization.)</w:t>
      </w:r>
    </w:p>
    <w:p>
      <w:pPr>
        <w:pStyle w:val="Normal"/>
        <w:ind w:start="720" w:end="0"/>
        <w:jc w:val="both"/>
        <w:rPr/>
      </w:pPr>
      <w:r>
        <w:rPr/>
      </w:r>
    </w:p>
    <w:p>
      <w:pPr>
        <w:pStyle w:val="Normal"/>
        <w:numPr>
          <w:ilvl w:val="0"/>
          <w:numId w:val="5"/>
        </w:numPr>
        <w:jc w:val="both"/>
        <w:rPr/>
      </w:pPr>
      <w:r>
        <w:rPr/>
        <w:t xml:space="preserve">Liens on accounts receivables and certain related assets of HPL and HPL Resources Company related to accounts receivable financings. </w:t>
      </w:r>
    </w:p>
    <w:p>
      <w:pPr>
        <w:pStyle w:val="Normal"/>
        <w:ind w:start="720" w:end="0"/>
        <w:jc w:val="both"/>
        <w:rPr/>
      </w:pPr>
      <w:r>
        <w:rPr/>
        <w:t>(These liens will be released prior to Closing.)</w:t>
      </w:r>
    </w:p>
    <w:p>
      <w:pPr>
        <w:pStyle w:val="Normal"/>
        <w:jc w:val="both"/>
        <w:rPr/>
      </w:pPr>
      <w:r>
        <w:rPr/>
      </w:r>
    </w:p>
    <w:p>
      <w:pPr>
        <w:pStyle w:val="Normal"/>
        <w:jc w:val="both"/>
        <w:rPr>
          <w:u w:val="single"/>
        </w:rPr>
      </w:pPr>
      <w:r>
        <w:rPr>
          <w:u w:val="single"/>
        </w:rPr>
        <w:t>Permitted Encumbrances</w:t>
      </w:r>
    </w:p>
    <w:p>
      <w:pPr>
        <w:pStyle w:val="Normal"/>
        <w:jc w:val="both"/>
        <w:rPr/>
      </w:pPr>
      <w:r>
        <w:rPr/>
      </w:r>
    </w:p>
    <w:p>
      <w:pPr>
        <w:pStyle w:val="Normal"/>
        <w:jc w:val="both"/>
        <w:rPr/>
      </w:pPr>
      <w:r>
        <w:rPr/>
        <w:t>Seven Oaks Lateral Pipeline is subject to a Lease and Operating Agreement dated July 1, 1995, as amended by Amendment dated November 1, 1998, which includes the right of the Lessee, Teco Pipeline Company, to purchase a portion of the pipeline upon giving 90 days notice prior to July 1, 2010, the expiration date of the Lease and Operating Agreement.</w:t>
      </w:r>
      <w:r>
        <w:br w:type="page"/>
      </w:r>
    </w:p>
    <w:p>
      <w:pPr>
        <w:pStyle w:val="Normal"/>
        <w:jc w:val="center"/>
        <w:rPr/>
      </w:pPr>
      <w:r>
        <w:rPr/>
        <w:t>PURCHASE AND SALE AGREEMENT</w:t>
      </w:r>
    </w:p>
    <w:p>
      <w:pPr>
        <w:pStyle w:val="Normal"/>
        <w:jc w:val="center"/>
        <w:rPr/>
      </w:pPr>
      <w:r>
        <w:rPr/>
      </w:r>
    </w:p>
    <w:p>
      <w:pPr>
        <w:pStyle w:val="Normal"/>
        <w:jc w:val="center"/>
        <w:rPr/>
      </w:pPr>
      <w:r>
        <w:rPr/>
        <w:t>Schedule 4.12(a)(ii)</w:t>
      </w:r>
    </w:p>
    <w:p>
      <w:pPr>
        <w:pStyle w:val="Normal"/>
        <w:jc w:val="center"/>
        <w:rPr/>
      </w:pPr>
      <w:r>
        <w:rPr/>
        <w:t>Major Assets</w:t>
      </w:r>
    </w:p>
    <w:p>
      <w:pPr>
        <w:pStyle w:val="Normal"/>
        <w:jc w:val="both"/>
        <w:rPr/>
      </w:pPr>
      <w:r>
        <w:rPr/>
      </w:r>
    </w:p>
    <w:p>
      <w:pPr>
        <w:pStyle w:val="Normal"/>
        <w:jc w:val="both"/>
        <w:rPr/>
      </w:pPr>
      <w:r>
        <w:rPr/>
        <w:t>The following facilities, including valves, dehydrators, meters, regulators, and other pipeline equipment associated therewith:</w:t>
      </w:r>
    </w:p>
    <w:p>
      <w:pPr>
        <w:pStyle w:val="Normal"/>
        <w:jc w:val="both"/>
        <w:rPr/>
      </w:pPr>
      <w:r>
        <w:rPr/>
      </w:r>
    </w:p>
    <w:p>
      <w:pPr>
        <w:pStyle w:val="Normal"/>
        <w:jc w:val="center"/>
        <w:rPr>
          <w:b/>
          <w:bCs/>
        </w:rPr>
      </w:pPr>
      <w:r>
        <w:rPr>
          <w:b/>
          <w:bCs/>
        </w:rPr>
        <w:t>Gathering and Processing Assets</w:t>
      </w:r>
    </w:p>
    <w:p>
      <w:pPr>
        <w:pStyle w:val="Normal"/>
        <w:jc w:val="center"/>
        <w:rPr>
          <w:b/>
          <w:bCs/>
        </w:rPr>
      </w:pPr>
      <w:r>
        <w:rPr>
          <w:b/>
          <w:bCs/>
        </w:rPr>
      </w:r>
    </w:p>
    <w:tbl>
      <w:tblPr>
        <w:tblW w:w="8292" w:type="dxa"/>
        <w:jc w:val="start"/>
        <w:tblInd w:w="0" w:type="dxa"/>
        <w:tblLayout w:type="fixed"/>
        <w:tblCellMar>
          <w:top w:w="0" w:type="dxa"/>
          <w:start w:w="108" w:type="dxa"/>
          <w:bottom w:w="0" w:type="dxa"/>
          <w:end w:w="108" w:type="dxa"/>
        </w:tblCellMar>
      </w:tblPr>
      <w:tblGrid>
        <w:gridCol w:w="4158"/>
        <w:gridCol w:w="990"/>
        <w:gridCol w:w="1416"/>
        <w:gridCol w:w="114"/>
        <w:gridCol w:w="1614"/>
      </w:tblGrid>
      <w:tr>
        <w:trPr/>
        <w:tc>
          <w:tcPr>
            <w:tcW w:w="4158" w:type="dxa"/>
            <w:tcBorders>
              <w:bottom w:val="single" w:sz="4" w:space="0" w:color="000000"/>
            </w:tcBorders>
          </w:tcPr>
          <w:p>
            <w:pPr>
              <w:pStyle w:val="Normal"/>
              <w:jc w:val="center"/>
              <w:rPr>
                <w:b/>
                <w:bCs/>
              </w:rPr>
            </w:pPr>
            <w:r>
              <w:rPr>
                <w:b/>
                <w:bCs/>
              </w:rPr>
              <w:t>Description</w:t>
            </w:r>
          </w:p>
        </w:tc>
        <w:tc>
          <w:tcPr>
            <w:tcW w:w="990" w:type="dxa"/>
            <w:tcBorders>
              <w:bottom w:val="single" w:sz="4" w:space="0" w:color="000000"/>
            </w:tcBorders>
          </w:tcPr>
          <w:p>
            <w:pPr>
              <w:pStyle w:val="Normal"/>
              <w:jc w:val="center"/>
              <w:rPr>
                <w:b/>
                <w:bCs/>
              </w:rPr>
            </w:pPr>
            <w:r>
              <w:rPr>
                <w:b/>
                <w:bCs/>
              </w:rPr>
              <w:t>Miles</w:t>
            </w:r>
          </w:p>
        </w:tc>
        <w:tc>
          <w:tcPr>
            <w:tcW w:w="1416" w:type="dxa"/>
            <w:tcBorders>
              <w:bottom w:val="single" w:sz="4" w:space="0" w:color="000000"/>
            </w:tcBorders>
          </w:tcPr>
          <w:p>
            <w:pPr>
              <w:pStyle w:val="Normal"/>
              <w:jc w:val="center"/>
              <w:rPr>
                <w:b/>
                <w:bCs/>
              </w:rPr>
            </w:pPr>
            <w:r>
              <w:rPr>
                <w:b/>
                <w:bCs/>
              </w:rPr>
              <w:t>Diameter</w:t>
            </w:r>
          </w:p>
        </w:tc>
        <w:tc>
          <w:tcPr>
            <w:tcW w:w="1728" w:type="dxa"/>
            <w:gridSpan w:val="2"/>
            <w:tcBorders>
              <w:bottom w:val="single" w:sz="4" w:space="0" w:color="000000"/>
            </w:tcBorders>
          </w:tcPr>
          <w:p>
            <w:pPr>
              <w:pStyle w:val="Normal"/>
              <w:jc w:val="center"/>
              <w:rPr>
                <w:b/>
                <w:bCs/>
              </w:rPr>
            </w:pPr>
            <w:r>
              <w:rPr>
                <w:b/>
                <w:bCs/>
              </w:rPr>
              <w:t>% ownership</w:t>
            </w:r>
          </w:p>
        </w:tc>
      </w:tr>
      <w:tr>
        <w:trPr/>
        <w:tc>
          <w:tcPr>
            <w:tcW w:w="4158" w:type="dxa"/>
            <w:tcBorders>
              <w:top w:val="single" w:sz="4" w:space="0" w:color="000000"/>
            </w:tcBorders>
          </w:tcPr>
          <w:p>
            <w:pPr>
              <w:pStyle w:val="Normal"/>
              <w:snapToGrid w:val="false"/>
              <w:jc w:val="both"/>
              <w:rPr>
                <w:b/>
                <w:bCs/>
              </w:rPr>
            </w:pPr>
            <w:r>
              <w:rPr>
                <w:b/>
                <w:bCs/>
              </w:rPr>
            </w:r>
          </w:p>
          <w:p>
            <w:pPr>
              <w:pStyle w:val="Normal"/>
              <w:jc w:val="both"/>
              <w:rPr/>
            </w:pPr>
            <w:r>
              <w:rPr/>
              <w:t>Zapata Line which runs through Zapata, Webb, and Jim Hogg Counties of Texas.</w:t>
            </w:r>
          </w:p>
        </w:tc>
        <w:tc>
          <w:tcPr>
            <w:tcW w:w="990" w:type="dxa"/>
            <w:tcBorders>
              <w:top w:val="single" w:sz="4" w:space="0" w:color="000000"/>
            </w:tcBorders>
          </w:tcPr>
          <w:p>
            <w:pPr>
              <w:pStyle w:val="Normal"/>
              <w:snapToGrid w:val="false"/>
              <w:jc w:val="center"/>
              <w:rPr/>
            </w:pPr>
            <w:r>
              <w:rPr/>
            </w:r>
          </w:p>
          <w:p>
            <w:pPr>
              <w:pStyle w:val="Normal"/>
              <w:jc w:val="center"/>
              <w:rPr/>
            </w:pPr>
            <w:r>
              <w:rPr/>
              <w:t>25</w:t>
            </w:r>
          </w:p>
          <w:p>
            <w:pPr>
              <w:pStyle w:val="Normal"/>
              <w:jc w:val="center"/>
              <w:rPr/>
            </w:pPr>
            <w:r>
              <w:rPr/>
              <w:t>10</w:t>
            </w:r>
          </w:p>
        </w:tc>
        <w:tc>
          <w:tcPr>
            <w:tcW w:w="1416" w:type="dxa"/>
            <w:tcBorders>
              <w:top w:val="single" w:sz="4" w:space="0" w:color="000000"/>
            </w:tcBorders>
          </w:tcPr>
          <w:p>
            <w:pPr>
              <w:pStyle w:val="Normal"/>
              <w:snapToGrid w:val="false"/>
              <w:jc w:val="center"/>
              <w:rPr/>
            </w:pPr>
            <w:r>
              <w:rPr/>
            </w:r>
          </w:p>
          <w:p>
            <w:pPr>
              <w:pStyle w:val="Normal"/>
              <w:jc w:val="center"/>
              <w:rPr/>
            </w:pPr>
            <w:r>
              <w:rPr/>
              <w:t>12"</w:t>
            </w:r>
          </w:p>
          <w:p>
            <w:pPr>
              <w:pStyle w:val="Normal"/>
              <w:jc w:val="center"/>
              <w:rPr/>
            </w:pPr>
            <w:r>
              <w:rPr/>
              <w:t>10"</w:t>
            </w:r>
          </w:p>
        </w:tc>
        <w:tc>
          <w:tcPr>
            <w:tcW w:w="1728" w:type="dxa"/>
            <w:gridSpan w:val="2"/>
            <w:tcBorders>
              <w:top w:val="single" w:sz="4" w:space="0" w:color="000000"/>
            </w:tcBorders>
          </w:tcPr>
          <w:p>
            <w:pPr>
              <w:pStyle w:val="Normal"/>
              <w:snapToGrid w:val="false"/>
              <w:jc w:val="center"/>
              <w:rPr/>
            </w:pPr>
            <w:r>
              <w:rPr/>
            </w:r>
          </w:p>
          <w:p>
            <w:pPr>
              <w:pStyle w:val="Normal"/>
              <w:jc w:val="center"/>
              <w:rPr/>
            </w:pPr>
            <w:r>
              <w:rPr/>
              <w:t>100%</w:t>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Thompsonville Line located in Webb and Duval Counties of Texas</w:t>
            </w:r>
          </w:p>
        </w:tc>
        <w:tc>
          <w:tcPr>
            <w:tcW w:w="990" w:type="dxa"/>
            <w:tcBorders/>
          </w:tcPr>
          <w:p>
            <w:pPr>
              <w:pStyle w:val="Normal"/>
              <w:snapToGrid w:val="false"/>
              <w:jc w:val="center"/>
              <w:rPr/>
            </w:pPr>
            <w:r>
              <w:rPr/>
            </w:r>
          </w:p>
          <w:p>
            <w:pPr>
              <w:pStyle w:val="Normal"/>
              <w:jc w:val="center"/>
              <w:rPr/>
            </w:pPr>
            <w:r>
              <w:rPr/>
              <w:t>100</w:t>
            </w:r>
          </w:p>
        </w:tc>
        <w:tc>
          <w:tcPr>
            <w:tcW w:w="1416" w:type="dxa"/>
            <w:tcBorders/>
          </w:tcPr>
          <w:p>
            <w:pPr>
              <w:pStyle w:val="Normal"/>
              <w:snapToGrid w:val="false"/>
              <w:jc w:val="center"/>
              <w:rPr/>
            </w:pPr>
            <w:r>
              <w:rPr/>
            </w:r>
          </w:p>
          <w:p>
            <w:pPr>
              <w:pStyle w:val="Normal"/>
              <w:jc w:val="center"/>
              <w:rPr/>
            </w:pPr>
            <w:r>
              <w:rPr/>
              <w:t>12"</w:t>
            </w:r>
          </w:p>
        </w:tc>
        <w:tc>
          <w:tcPr>
            <w:tcW w:w="1728" w:type="dxa"/>
            <w:gridSpan w:val="2"/>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Edinburg Line located in Hidalgo, Brooks, Jim Wells, and Kleberg Counties of Texas</w:t>
            </w:r>
          </w:p>
        </w:tc>
        <w:tc>
          <w:tcPr>
            <w:tcW w:w="990" w:type="dxa"/>
            <w:tcBorders/>
          </w:tcPr>
          <w:p>
            <w:pPr>
              <w:pStyle w:val="Normal"/>
              <w:snapToGrid w:val="false"/>
              <w:jc w:val="center"/>
              <w:rPr/>
            </w:pPr>
            <w:r>
              <w:rPr/>
            </w:r>
          </w:p>
          <w:p>
            <w:pPr>
              <w:pStyle w:val="Normal"/>
              <w:jc w:val="center"/>
              <w:rPr/>
            </w:pPr>
            <w:r>
              <w:rPr/>
              <w:t>80</w:t>
            </w:r>
          </w:p>
          <w:p>
            <w:pPr>
              <w:pStyle w:val="Normal"/>
              <w:jc w:val="center"/>
              <w:rPr/>
            </w:pPr>
            <w:r>
              <w:rPr/>
              <w:t>30</w:t>
            </w:r>
          </w:p>
        </w:tc>
        <w:tc>
          <w:tcPr>
            <w:tcW w:w="1416" w:type="dxa"/>
            <w:tcBorders/>
          </w:tcPr>
          <w:p>
            <w:pPr>
              <w:pStyle w:val="Normal"/>
              <w:snapToGrid w:val="false"/>
              <w:jc w:val="center"/>
              <w:rPr/>
            </w:pPr>
            <w:r>
              <w:rPr/>
            </w:r>
          </w:p>
          <w:p>
            <w:pPr>
              <w:pStyle w:val="Normal"/>
              <w:jc w:val="center"/>
              <w:rPr>
                <w:rFonts w:ascii="Arial" w:hAnsi="Arial" w:cs="Arial"/>
              </w:rPr>
            </w:pPr>
            <w:r>
              <w:rPr/>
              <w:t>24"</w:t>
            </w:r>
          </w:p>
          <w:p>
            <w:pPr>
              <w:pStyle w:val="Normal"/>
              <w:jc w:val="center"/>
              <w:rPr/>
            </w:pPr>
            <w:r>
              <w:rPr/>
              <w:t>16"</w:t>
            </w:r>
          </w:p>
        </w:tc>
        <w:tc>
          <w:tcPr>
            <w:tcW w:w="1728" w:type="dxa"/>
            <w:gridSpan w:val="2"/>
            <w:tcBorders/>
          </w:tcPr>
          <w:p>
            <w:pPr>
              <w:pStyle w:val="Normal"/>
              <w:snapToGrid w:val="false"/>
              <w:jc w:val="center"/>
              <w:rPr/>
            </w:pPr>
            <w:r>
              <w:rPr/>
            </w:r>
          </w:p>
          <w:p>
            <w:pPr>
              <w:pStyle w:val="Normal"/>
              <w:jc w:val="center"/>
              <w:rPr/>
            </w:pPr>
            <w:r>
              <w:rPr/>
              <w:t>100%</w:t>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Big Cowboy Line located in Webb and Duval Counties of Texas</w:t>
            </w:r>
          </w:p>
        </w:tc>
        <w:tc>
          <w:tcPr>
            <w:tcW w:w="990" w:type="dxa"/>
            <w:tcBorders/>
          </w:tcPr>
          <w:p>
            <w:pPr>
              <w:pStyle w:val="Normal"/>
              <w:snapToGrid w:val="false"/>
              <w:jc w:val="center"/>
              <w:rPr/>
            </w:pPr>
            <w:r>
              <w:rPr/>
            </w:r>
          </w:p>
          <w:p>
            <w:pPr>
              <w:pStyle w:val="Normal"/>
              <w:jc w:val="center"/>
              <w:rPr/>
            </w:pPr>
            <w:r>
              <w:rPr/>
              <w:t>45</w:t>
            </w:r>
          </w:p>
        </w:tc>
        <w:tc>
          <w:tcPr>
            <w:tcW w:w="1416" w:type="dxa"/>
            <w:tcBorders/>
          </w:tcPr>
          <w:p>
            <w:pPr>
              <w:pStyle w:val="Normal"/>
              <w:snapToGrid w:val="false"/>
              <w:jc w:val="center"/>
              <w:rPr/>
            </w:pPr>
            <w:r>
              <w:rPr/>
            </w:r>
          </w:p>
          <w:p>
            <w:pPr>
              <w:pStyle w:val="Normal"/>
              <w:jc w:val="center"/>
              <w:rPr/>
            </w:pPr>
            <w:r>
              <w:rPr/>
              <w:t>16"</w:t>
            </w:r>
          </w:p>
        </w:tc>
        <w:tc>
          <w:tcPr>
            <w:tcW w:w="1728" w:type="dxa"/>
            <w:gridSpan w:val="2"/>
            <w:tcBorders/>
          </w:tcPr>
          <w:p>
            <w:pPr>
              <w:pStyle w:val="Normal"/>
              <w:snapToGrid w:val="false"/>
              <w:jc w:val="center"/>
              <w:rPr/>
            </w:pPr>
            <w:r>
              <w:rPr/>
            </w:r>
          </w:p>
          <w:p>
            <w:pPr>
              <w:pStyle w:val="Normal"/>
              <w:jc w:val="center"/>
              <w:rPr/>
            </w:pPr>
            <w:r>
              <w:rPr/>
              <w:t>50</w:t>
            </w:r>
          </w:p>
        </w:tc>
      </w:tr>
      <w:tr>
        <w:trPr/>
        <w:tc>
          <w:tcPr>
            <w:tcW w:w="4158" w:type="dxa"/>
            <w:tcBorders/>
          </w:tcPr>
          <w:p>
            <w:pPr>
              <w:pStyle w:val="Normal"/>
              <w:snapToGrid w:val="false"/>
              <w:jc w:val="both"/>
              <w:rPr/>
            </w:pPr>
            <w:r>
              <w:rPr/>
            </w:r>
          </w:p>
          <w:p>
            <w:pPr>
              <w:pStyle w:val="Normal"/>
              <w:jc w:val="both"/>
              <w:rPr/>
            </w:pPr>
            <w:r>
              <w:rPr/>
              <w:t>Dubose/Mission Valley Line located in Dewitt, Goliad, and Victoria Counties of Texas</w:t>
            </w:r>
          </w:p>
        </w:tc>
        <w:tc>
          <w:tcPr>
            <w:tcW w:w="4134" w:type="dxa"/>
            <w:gridSpan w:val="4"/>
            <w:tcBorders/>
          </w:tcPr>
          <w:p>
            <w:pPr>
              <w:pStyle w:val="Normal"/>
              <w:tabs>
                <w:tab w:val="clear" w:pos="720"/>
                <w:tab w:val="center" w:pos="432" w:leader="none"/>
                <w:tab w:val="center" w:pos="1602" w:leader="none"/>
                <w:tab w:val="center" w:pos="3132" w:leader="none"/>
              </w:tabs>
              <w:snapToGrid w:val="false"/>
              <w:jc w:val="both"/>
              <w:rPr/>
            </w:pPr>
            <w:r>
              <w:rPr/>
            </w:r>
          </w:p>
          <w:p>
            <w:pPr>
              <w:pStyle w:val="Normal"/>
              <w:tabs>
                <w:tab w:val="clear" w:pos="720"/>
                <w:tab w:val="center" w:pos="432" w:leader="none"/>
                <w:tab w:val="center" w:pos="1602" w:leader="none"/>
                <w:tab w:val="center" w:pos="3132" w:leader="none"/>
              </w:tabs>
              <w:jc w:val="both"/>
              <w:rPr/>
            </w:pPr>
            <w:r>
              <w:rPr/>
              <w:tab/>
              <w:t>89</w:t>
              <w:tab/>
              <w:t>12"</w:t>
            </w:r>
            <w:r>
              <w:rPr>
                <w:rFonts w:cs="Arial" w:ascii="Arial" w:hAnsi="Arial"/>
              </w:rPr>
              <w:tab/>
            </w:r>
            <w:r>
              <w:rPr/>
              <w:t>100%</w:t>
            </w:r>
          </w:p>
          <w:p>
            <w:pPr>
              <w:pStyle w:val="Normal"/>
              <w:tabs>
                <w:tab w:val="clear" w:pos="720"/>
                <w:tab w:val="center" w:pos="432" w:leader="none"/>
                <w:tab w:val="center" w:pos="1422" w:leader="none"/>
                <w:tab w:val="center" w:pos="2862" w:leader="none"/>
              </w:tabs>
              <w:jc w:val="center"/>
              <w:rPr/>
            </w:pPr>
            <w:r>
              <w:rPr/>
              <w:t>plus numerous smaller sections</w:t>
            </w:r>
          </w:p>
          <w:p>
            <w:pPr>
              <w:pStyle w:val="Normal"/>
              <w:tabs>
                <w:tab w:val="clear" w:pos="720"/>
                <w:tab w:val="center" w:pos="2862" w:leader="none"/>
              </w:tabs>
              <w:jc w:val="center"/>
              <w:rPr/>
            </w:pPr>
            <w:r>
              <w:rPr/>
            </w:r>
          </w:p>
        </w:tc>
      </w:tr>
      <w:tr>
        <w:trPr/>
        <w:tc>
          <w:tcPr>
            <w:tcW w:w="4158" w:type="dxa"/>
            <w:tcBorders/>
          </w:tcPr>
          <w:p>
            <w:pPr>
              <w:pStyle w:val="Normal"/>
              <w:snapToGrid w:val="false"/>
              <w:jc w:val="both"/>
              <w:rPr/>
            </w:pPr>
            <w:r>
              <w:rPr/>
            </w:r>
          </w:p>
          <w:p>
            <w:pPr>
              <w:pStyle w:val="Normal"/>
              <w:jc w:val="both"/>
              <w:rPr/>
            </w:pPr>
            <w:r>
              <w:rPr/>
              <w:t>Southwest Speaks Line located in La Vaca and Jackson Counties of Texas</w:t>
            </w:r>
          </w:p>
        </w:tc>
        <w:tc>
          <w:tcPr>
            <w:tcW w:w="990" w:type="dxa"/>
            <w:tcBorders/>
          </w:tcPr>
          <w:p>
            <w:pPr>
              <w:pStyle w:val="Normal"/>
              <w:snapToGrid w:val="false"/>
              <w:jc w:val="center"/>
              <w:rPr/>
            </w:pPr>
            <w:r>
              <w:rPr/>
            </w:r>
          </w:p>
          <w:p>
            <w:pPr>
              <w:pStyle w:val="Normal"/>
              <w:jc w:val="center"/>
              <w:rPr/>
            </w:pPr>
            <w:r>
              <w:rPr/>
              <w:t>32</w:t>
            </w:r>
          </w:p>
        </w:tc>
        <w:tc>
          <w:tcPr>
            <w:tcW w:w="1530" w:type="dxa"/>
            <w:gridSpan w:val="2"/>
            <w:tcBorders/>
          </w:tcPr>
          <w:p>
            <w:pPr>
              <w:pStyle w:val="Normal"/>
              <w:snapToGrid w:val="false"/>
              <w:jc w:val="center"/>
              <w:rPr/>
            </w:pPr>
            <w:r>
              <w:rPr/>
            </w:r>
          </w:p>
          <w:p>
            <w:pPr>
              <w:pStyle w:val="Normal"/>
              <w:jc w:val="center"/>
              <w:rPr/>
            </w:pPr>
            <w:r>
              <w:rPr/>
              <w:t>8" and 12"</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Bonus/Spanish Camp Line Located in Lavaca and Jackson Counties of Texas</w:t>
            </w:r>
          </w:p>
        </w:tc>
        <w:tc>
          <w:tcPr>
            <w:tcW w:w="990" w:type="dxa"/>
            <w:tcBorders/>
          </w:tcPr>
          <w:p>
            <w:pPr>
              <w:pStyle w:val="Normal"/>
              <w:snapToGrid w:val="false"/>
              <w:jc w:val="center"/>
              <w:rPr/>
            </w:pPr>
            <w:r>
              <w:rPr/>
            </w:r>
          </w:p>
          <w:p>
            <w:pPr>
              <w:pStyle w:val="Normal"/>
              <w:jc w:val="center"/>
              <w:rPr/>
            </w:pPr>
            <w:r>
              <w:rPr/>
              <w:t>37</w:t>
            </w:r>
          </w:p>
        </w:tc>
        <w:tc>
          <w:tcPr>
            <w:tcW w:w="1530" w:type="dxa"/>
            <w:gridSpan w:val="2"/>
            <w:tcBorders/>
          </w:tcPr>
          <w:p>
            <w:pPr>
              <w:pStyle w:val="Normal"/>
              <w:snapToGrid w:val="false"/>
              <w:jc w:val="center"/>
              <w:rPr/>
            </w:pPr>
            <w:r>
              <w:rPr/>
            </w:r>
          </w:p>
          <w:p>
            <w:pPr>
              <w:pStyle w:val="Normal"/>
              <w:jc w:val="center"/>
              <w:rPr/>
            </w:pPr>
            <w:r>
              <w:rPr/>
              <w:t>6"</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South Padre Island Line located offshore of Padre Island, Texas</w:t>
            </w:r>
          </w:p>
        </w:tc>
        <w:tc>
          <w:tcPr>
            <w:tcW w:w="990" w:type="dxa"/>
            <w:tcBorders/>
          </w:tcPr>
          <w:p>
            <w:pPr>
              <w:pStyle w:val="Normal"/>
              <w:snapToGrid w:val="false"/>
              <w:jc w:val="center"/>
              <w:rPr/>
            </w:pPr>
            <w:r>
              <w:rPr/>
            </w:r>
          </w:p>
          <w:p>
            <w:pPr>
              <w:pStyle w:val="Normal"/>
              <w:jc w:val="center"/>
              <w:rPr/>
            </w:pPr>
            <w:r>
              <w:rPr/>
              <w:t>70</w:t>
            </w:r>
          </w:p>
        </w:tc>
        <w:tc>
          <w:tcPr>
            <w:tcW w:w="1530" w:type="dxa"/>
            <w:gridSpan w:val="2"/>
            <w:tcBorders/>
          </w:tcPr>
          <w:p>
            <w:pPr>
              <w:pStyle w:val="Normal"/>
              <w:snapToGrid w:val="false"/>
              <w:jc w:val="center"/>
              <w:rPr/>
            </w:pPr>
            <w:r>
              <w:rPr/>
            </w:r>
          </w:p>
          <w:p>
            <w:pPr>
              <w:pStyle w:val="Normal"/>
              <w:jc w:val="center"/>
              <w:rPr/>
            </w:pPr>
            <w:r>
              <w:rPr/>
              <w:t>20"</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Valley Line located in Matagorda and Brazoria County</w:t>
            </w:r>
          </w:p>
        </w:tc>
        <w:tc>
          <w:tcPr>
            <w:tcW w:w="990" w:type="dxa"/>
            <w:tcBorders/>
          </w:tcPr>
          <w:p>
            <w:pPr>
              <w:pStyle w:val="Normal"/>
              <w:snapToGrid w:val="false"/>
              <w:jc w:val="center"/>
              <w:rPr/>
            </w:pPr>
            <w:r>
              <w:rPr/>
            </w:r>
          </w:p>
          <w:p>
            <w:pPr>
              <w:pStyle w:val="Normal"/>
              <w:jc w:val="center"/>
              <w:rPr/>
            </w:pPr>
            <w:r>
              <w:rPr/>
              <w:t>137</w:t>
            </w:r>
          </w:p>
        </w:tc>
        <w:tc>
          <w:tcPr>
            <w:tcW w:w="1530" w:type="dxa"/>
            <w:gridSpan w:val="2"/>
            <w:tcBorders/>
          </w:tcPr>
          <w:p>
            <w:pPr>
              <w:pStyle w:val="Normal"/>
              <w:snapToGrid w:val="false"/>
              <w:jc w:val="center"/>
              <w:rPr/>
            </w:pPr>
            <w:r>
              <w:rPr/>
            </w:r>
          </w:p>
          <w:p>
            <w:pPr>
              <w:pStyle w:val="Normal"/>
              <w:jc w:val="center"/>
              <w:rPr/>
            </w:pPr>
            <w:r>
              <w:rPr/>
              <w:t>combination</w:t>
            </w:r>
          </w:p>
          <w:p>
            <w:pPr>
              <w:pStyle w:val="Normal"/>
              <w:jc w:val="center"/>
              <w:rPr/>
            </w:pPr>
            <w:r>
              <w:rPr/>
              <w:t>of 8",12",16"</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McMullen/Three River Line</w:t>
            </w:r>
          </w:p>
        </w:tc>
        <w:tc>
          <w:tcPr>
            <w:tcW w:w="990" w:type="dxa"/>
            <w:tcBorders/>
          </w:tcPr>
          <w:p>
            <w:pPr>
              <w:pStyle w:val="Normal"/>
              <w:snapToGrid w:val="false"/>
              <w:jc w:val="center"/>
              <w:rPr/>
            </w:pPr>
            <w:r>
              <w:rPr/>
            </w:r>
          </w:p>
          <w:p>
            <w:pPr>
              <w:pStyle w:val="Normal"/>
              <w:jc w:val="center"/>
              <w:rPr/>
            </w:pPr>
            <w:r>
              <w:rPr/>
              <w:t>80</w:t>
            </w:r>
          </w:p>
        </w:tc>
        <w:tc>
          <w:tcPr>
            <w:tcW w:w="1530" w:type="dxa"/>
            <w:gridSpan w:val="2"/>
            <w:tcBorders/>
          </w:tcPr>
          <w:p>
            <w:pPr>
              <w:pStyle w:val="Normal"/>
              <w:snapToGrid w:val="false"/>
              <w:jc w:val="center"/>
              <w:rPr/>
            </w:pPr>
            <w:r>
              <w:rPr/>
            </w:r>
          </w:p>
          <w:p>
            <w:pPr>
              <w:pStyle w:val="Normal"/>
              <w:jc w:val="center"/>
              <w:rPr/>
            </w:pPr>
            <w:r>
              <w:rPr/>
              <w:t>combination</w:t>
            </w:r>
          </w:p>
          <w:p>
            <w:pPr>
              <w:pStyle w:val="Normal"/>
              <w:jc w:val="center"/>
              <w:rPr/>
            </w:pPr>
            <w:r>
              <w:rPr/>
              <w:t>of 6" and 12"</w:t>
            </w:r>
          </w:p>
        </w:tc>
        <w:tc>
          <w:tcPr>
            <w:tcW w:w="1614" w:type="dxa"/>
            <w:tcBorders/>
          </w:tcPr>
          <w:p>
            <w:pPr>
              <w:pStyle w:val="Normal"/>
              <w:snapToGrid w:val="false"/>
              <w:jc w:val="center"/>
              <w:rPr/>
            </w:pPr>
            <w:r>
              <w:rPr/>
            </w:r>
          </w:p>
          <w:p>
            <w:pPr>
              <w:pStyle w:val="Normal"/>
              <w:jc w:val="center"/>
              <w:rPr/>
            </w:pPr>
            <w:r>
              <w:rPr/>
              <w:t>100%</w:t>
            </w:r>
          </w:p>
        </w:tc>
      </w:tr>
      <w:tr>
        <w:trPr/>
        <w:tc>
          <w:tcPr>
            <w:tcW w:w="4158" w:type="dxa"/>
            <w:tcBorders/>
          </w:tcPr>
          <w:p>
            <w:pPr>
              <w:pStyle w:val="Normal"/>
              <w:snapToGrid w:val="false"/>
              <w:jc w:val="both"/>
              <w:rPr/>
            </w:pPr>
            <w:r>
              <w:rPr/>
            </w:r>
          </w:p>
          <w:p>
            <w:pPr>
              <w:pStyle w:val="Normal"/>
              <w:jc w:val="both"/>
              <w:rPr/>
            </w:pPr>
            <w:r>
              <w:rPr/>
              <w:t>Three River Cryogenic Processing Plant located in Live Oak County, Texas (Not operational; being evaluated for relocation or sale)</w:t>
            </w:r>
          </w:p>
        </w:tc>
        <w:tc>
          <w:tcPr>
            <w:tcW w:w="990" w:type="dxa"/>
            <w:tcBorders/>
          </w:tcPr>
          <w:p>
            <w:pPr>
              <w:pStyle w:val="Normal"/>
              <w:snapToGrid w:val="false"/>
              <w:jc w:val="center"/>
              <w:rPr/>
            </w:pPr>
            <w:r>
              <w:rPr/>
            </w:r>
          </w:p>
        </w:tc>
        <w:tc>
          <w:tcPr>
            <w:tcW w:w="1530" w:type="dxa"/>
            <w:gridSpan w:val="2"/>
            <w:tcBorders/>
          </w:tcPr>
          <w:p>
            <w:pPr>
              <w:pStyle w:val="Normal"/>
              <w:snapToGrid w:val="false"/>
              <w:jc w:val="center"/>
              <w:rPr/>
            </w:pPr>
            <w:r>
              <w:rPr/>
            </w:r>
          </w:p>
        </w:tc>
        <w:tc>
          <w:tcPr>
            <w:tcW w:w="1614" w:type="dxa"/>
            <w:tcBorders/>
          </w:tcPr>
          <w:p>
            <w:pPr>
              <w:pStyle w:val="Normal"/>
              <w:snapToGrid w:val="false"/>
              <w:jc w:val="center"/>
              <w:rPr/>
            </w:pPr>
            <w:r>
              <w:rPr/>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530" w:type="dxa"/>
            <w:gridSpan w:val="2"/>
            <w:tcBorders/>
          </w:tcPr>
          <w:p>
            <w:pPr>
              <w:pStyle w:val="Normal"/>
              <w:snapToGrid w:val="false"/>
              <w:jc w:val="center"/>
              <w:rPr/>
            </w:pPr>
            <w:r>
              <w:rPr/>
            </w:r>
          </w:p>
        </w:tc>
        <w:tc>
          <w:tcPr>
            <w:tcW w:w="1614" w:type="dxa"/>
            <w:tcBorders/>
          </w:tcPr>
          <w:p>
            <w:pPr>
              <w:pStyle w:val="Normal"/>
              <w:snapToGrid w:val="false"/>
              <w:jc w:val="center"/>
              <w:rPr/>
            </w:pPr>
            <w:r>
              <w:rPr/>
            </w:r>
          </w:p>
        </w:tc>
      </w:tr>
    </w:tbl>
    <w:p>
      <w:pPr>
        <w:pStyle w:val="Normal"/>
        <w:jc w:val="both"/>
        <w:rPr/>
      </w:pPr>
      <w:r>
        <w:rPr/>
      </w:r>
    </w:p>
    <w:p>
      <w:pPr>
        <w:pStyle w:val="Normal"/>
        <w:jc w:val="both"/>
        <w:rPr/>
      </w:pPr>
      <w:r>
        <w:rPr/>
        <w:t>The following facilities, including valves, dehydrators, meters, regulators, and other pipeline equipment associated therewith:</w:t>
      </w:r>
    </w:p>
    <w:p>
      <w:pPr>
        <w:pStyle w:val="Normal"/>
        <w:jc w:val="center"/>
        <w:rPr>
          <w:b/>
          <w:bCs/>
        </w:rPr>
      </w:pPr>
      <w:r>
        <w:rPr>
          <w:b/>
          <w:bCs/>
        </w:rPr>
        <w:t>Mainlines</w:t>
      </w:r>
    </w:p>
    <w:p>
      <w:pPr>
        <w:pStyle w:val="Normal"/>
        <w:jc w:val="center"/>
        <w:rPr>
          <w:b/>
          <w:bCs/>
        </w:rPr>
      </w:pPr>
      <w:r>
        <w:rPr>
          <w:b/>
          <w:bCs/>
        </w:rPr>
      </w:r>
    </w:p>
    <w:tbl>
      <w:tblPr>
        <w:tblW w:w="8292" w:type="dxa"/>
        <w:jc w:val="start"/>
        <w:tblInd w:w="0" w:type="dxa"/>
        <w:tblLayout w:type="fixed"/>
        <w:tblCellMar>
          <w:top w:w="0" w:type="dxa"/>
          <w:start w:w="108" w:type="dxa"/>
          <w:bottom w:w="0" w:type="dxa"/>
          <w:end w:w="108" w:type="dxa"/>
        </w:tblCellMar>
      </w:tblPr>
      <w:tblGrid>
        <w:gridCol w:w="4158"/>
        <w:gridCol w:w="990"/>
        <w:gridCol w:w="1416"/>
        <w:gridCol w:w="1728"/>
      </w:tblGrid>
      <w:tr>
        <w:trPr/>
        <w:tc>
          <w:tcPr>
            <w:tcW w:w="4158" w:type="dxa"/>
            <w:tcBorders>
              <w:bottom w:val="single" w:sz="4" w:space="0" w:color="000000"/>
            </w:tcBorders>
          </w:tcPr>
          <w:p>
            <w:pPr>
              <w:pStyle w:val="Normal"/>
              <w:jc w:val="center"/>
              <w:rPr>
                <w:b/>
                <w:bCs/>
              </w:rPr>
            </w:pPr>
            <w:r>
              <w:rPr>
                <w:b/>
                <w:bCs/>
              </w:rPr>
              <w:t>Description</w:t>
            </w:r>
          </w:p>
        </w:tc>
        <w:tc>
          <w:tcPr>
            <w:tcW w:w="990" w:type="dxa"/>
            <w:tcBorders>
              <w:bottom w:val="single" w:sz="4" w:space="0" w:color="000000"/>
            </w:tcBorders>
          </w:tcPr>
          <w:p>
            <w:pPr>
              <w:pStyle w:val="Normal"/>
              <w:jc w:val="center"/>
              <w:rPr>
                <w:b/>
                <w:bCs/>
              </w:rPr>
            </w:pPr>
            <w:r>
              <w:rPr>
                <w:b/>
                <w:bCs/>
              </w:rPr>
              <w:t>Miles</w:t>
            </w:r>
          </w:p>
        </w:tc>
        <w:tc>
          <w:tcPr>
            <w:tcW w:w="1416" w:type="dxa"/>
            <w:tcBorders>
              <w:bottom w:val="single" w:sz="4" w:space="0" w:color="000000"/>
            </w:tcBorders>
          </w:tcPr>
          <w:p>
            <w:pPr>
              <w:pStyle w:val="Normal"/>
              <w:jc w:val="center"/>
              <w:rPr>
                <w:b/>
                <w:bCs/>
              </w:rPr>
            </w:pPr>
            <w:r>
              <w:rPr>
                <w:b/>
                <w:bCs/>
              </w:rPr>
              <w:t>Diameter</w:t>
            </w:r>
          </w:p>
        </w:tc>
        <w:tc>
          <w:tcPr>
            <w:tcW w:w="1728" w:type="dxa"/>
            <w:tcBorders>
              <w:bottom w:val="single" w:sz="4" w:space="0" w:color="000000"/>
            </w:tcBorders>
          </w:tcPr>
          <w:p>
            <w:pPr>
              <w:pStyle w:val="Normal"/>
              <w:jc w:val="center"/>
              <w:rPr>
                <w:b/>
                <w:bCs/>
              </w:rPr>
            </w:pPr>
            <w:r>
              <w:rPr>
                <w:b/>
                <w:bCs/>
              </w:rPr>
              <w:t>% ownership</w:t>
            </w:r>
          </w:p>
        </w:tc>
      </w:tr>
      <w:tr>
        <w:trPr>
          <w:trHeight w:val="144" w:hRule="exact"/>
        </w:trPr>
        <w:tc>
          <w:tcPr>
            <w:tcW w:w="4158" w:type="dxa"/>
            <w:tcBorders>
              <w:top w:val="single" w:sz="4" w:space="0" w:color="000000"/>
            </w:tcBorders>
          </w:tcPr>
          <w:p>
            <w:pPr>
              <w:pStyle w:val="Normal"/>
              <w:snapToGrid w:val="false"/>
              <w:jc w:val="both"/>
              <w:rPr>
                <w:b/>
                <w:bCs/>
              </w:rPr>
            </w:pPr>
            <w:r>
              <w:rPr>
                <w:b/>
                <w:bCs/>
              </w:rPr>
            </w:r>
          </w:p>
        </w:tc>
        <w:tc>
          <w:tcPr>
            <w:tcW w:w="990" w:type="dxa"/>
            <w:tcBorders>
              <w:top w:val="single" w:sz="4" w:space="0" w:color="000000"/>
            </w:tcBorders>
          </w:tcPr>
          <w:p>
            <w:pPr>
              <w:pStyle w:val="Normal"/>
              <w:snapToGrid w:val="false"/>
              <w:jc w:val="center"/>
              <w:rPr/>
            </w:pPr>
            <w:r>
              <w:rPr/>
            </w:r>
          </w:p>
        </w:tc>
        <w:tc>
          <w:tcPr>
            <w:tcW w:w="1416" w:type="dxa"/>
            <w:tcBorders>
              <w:top w:val="single" w:sz="4" w:space="0" w:color="000000"/>
            </w:tcBorders>
          </w:tcPr>
          <w:p>
            <w:pPr>
              <w:pStyle w:val="Normal"/>
              <w:snapToGrid w:val="false"/>
              <w:jc w:val="center"/>
              <w:rPr/>
            </w:pPr>
            <w:r>
              <w:rPr/>
            </w:r>
          </w:p>
        </w:tc>
        <w:tc>
          <w:tcPr>
            <w:tcW w:w="1728" w:type="dxa"/>
            <w:tcBorders>
              <w:top w:val="single" w:sz="4" w:space="0" w:color="000000"/>
            </w:tcBorders>
          </w:tcPr>
          <w:p>
            <w:pPr>
              <w:pStyle w:val="Normal"/>
              <w:snapToGrid w:val="false"/>
              <w:jc w:val="center"/>
              <w:rPr/>
            </w:pPr>
            <w:r>
              <w:rPr/>
            </w:r>
          </w:p>
        </w:tc>
      </w:tr>
      <w:tr>
        <w:trPr/>
        <w:tc>
          <w:tcPr>
            <w:tcW w:w="4158" w:type="dxa"/>
            <w:tcBorders/>
          </w:tcPr>
          <w:p>
            <w:pPr>
              <w:pStyle w:val="Normal"/>
              <w:jc w:val="both"/>
              <w:rPr/>
            </w:pPr>
            <w:r>
              <w:rPr/>
              <w:t>South Texas Line which originates in Jim Hogg County, Texas and terminates in Caldwell County, Texas</w:t>
            </w:r>
          </w:p>
        </w:tc>
        <w:tc>
          <w:tcPr>
            <w:tcW w:w="990" w:type="dxa"/>
            <w:tcBorders/>
          </w:tcPr>
          <w:p>
            <w:pPr>
              <w:pStyle w:val="Normal"/>
              <w:jc w:val="center"/>
              <w:rPr/>
            </w:pPr>
            <w:r>
              <w:rPr/>
              <w:t>193</w:t>
            </w:r>
          </w:p>
        </w:tc>
        <w:tc>
          <w:tcPr>
            <w:tcW w:w="1416" w:type="dxa"/>
            <w:tcBorders/>
          </w:tcPr>
          <w:p>
            <w:pPr>
              <w:pStyle w:val="Normal"/>
              <w:jc w:val="center"/>
              <w:rPr/>
            </w:pPr>
            <w:r>
              <w:rPr/>
              <w:t>24" and 30"</w:t>
            </w:r>
          </w:p>
        </w:tc>
        <w:tc>
          <w:tcPr>
            <w:tcW w:w="1728" w:type="dxa"/>
            <w:tcBorders/>
          </w:tcPr>
          <w:p>
            <w:pPr>
              <w:pStyle w:val="Normal"/>
              <w:jc w:val="center"/>
              <w:rPr/>
            </w:pPr>
            <w:r>
              <w:rPr/>
              <w:t>80%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Austin Line which originates in Caldwell County, Texas and terminates in Travis County, Texas</w:t>
            </w:r>
          </w:p>
        </w:tc>
        <w:tc>
          <w:tcPr>
            <w:tcW w:w="990" w:type="dxa"/>
            <w:tcBorders/>
          </w:tcPr>
          <w:p>
            <w:pPr>
              <w:pStyle w:val="Normal"/>
              <w:jc w:val="center"/>
              <w:rPr/>
            </w:pPr>
            <w:r>
              <w:rPr/>
              <w:t>18</w:t>
            </w:r>
          </w:p>
          <w:p>
            <w:pPr>
              <w:pStyle w:val="Normal"/>
              <w:jc w:val="center"/>
              <w:rPr/>
            </w:pPr>
            <w:r>
              <w:rPr/>
              <w:t>20</w:t>
            </w:r>
          </w:p>
        </w:tc>
        <w:tc>
          <w:tcPr>
            <w:tcW w:w="1416" w:type="dxa"/>
            <w:tcBorders/>
          </w:tcPr>
          <w:p>
            <w:pPr>
              <w:pStyle w:val="Normal"/>
              <w:jc w:val="center"/>
              <w:rPr/>
            </w:pPr>
            <w:r>
              <w:rPr/>
              <w:t>20"</w:t>
            </w:r>
          </w:p>
          <w:p>
            <w:pPr>
              <w:pStyle w:val="Normal"/>
              <w:jc w:val="center"/>
              <w:rPr/>
            </w:pPr>
            <w:r>
              <w:rPr/>
              <w:t>16"</w:t>
            </w:r>
          </w:p>
        </w:tc>
        <w:tc>
          <w:tcPr>
            <w:tcW w:w="1728" w:type="dxa"/>
            <w:tcBorders/>
          </w:tcPr>
          <w:p>
            <w:pPr>
              <w:pStyle w:val="Normal"/>
              <w:jc w:val="center"/>
              <w:rPr/>
            </w:pPr>
            <w:r>
              <w:rPr/>
              <w:t>50%</w:t>
            </w:r>
          </w:p>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Partnership interest in MidTexas Pipeline Company, which owns the MidTexas Line, which originates in Gonzales County, Texas and terminates in Waller County, Texas (See Material Contracts)</w:t>
            </w:r>
          </w:p>
        </w:tc>
        <w:tc>
          <w:tcPr>
            <w:tcW w:w="990" w:type="dxa"/>
            <w:tcBorders/>
          </w:tcPr>
          <w:p>
            <w:pPr>
              <w:pStyle w:val="Normal"/>
              <w:jc w:val="center"/>
              <w:rPr/>
            </w:pPr>
            <w:r>
              <w:rPr/>
              <w:t>129</w:t>
            </w:r>
          </w:p>
          <w:p>
            <w:pPr>
              <w:pStyle w:val="Normal"/>
              <w:jc w:val="center"/>
              <w:rPr/>
            </w:pPr>
            <w:r>
              <w:rPr/>
              <w:t>10</w:t>
            </w:r>
          </w:p>
        </w:tc>
        <w:tc>
          <w:tcPr>
            <w:tcW w:w="1416" w:type="dxa"/>
            <w:tcBorders/>
          </w:tcPr>
          <w:p>
            <w:pPr>
              <w:pStyle w:val="Normal"/>
              <w:jc w:val="center"/>
              <w:rPr/>
            </w:pPr>
            <w:r>
              <w:rPr/>
              <w:t>30"</w:t>
            </w:r>
          </w:p>
          <w:p>
            <w:pPr>
              <w:pStyle w:val="Normal"/>
              <w:jc w:val="center"/>
              <w:rPr/>
            </w:pPr>
            <w:r>
              <w:rPr/>
              <w:t>12"</w:t>
            </w:r>
          </w:p>
        </w:tc>
        <w:tc>
          <w:tcPr>
            <w:tcW w:w="1728" w:type="dxa"/>
            <w:tcBorders/>
          </w:tcPr>
          <w:p>
            <w:pPr>
              <w:pStyle w:val="Normal"/>
              <w:jc w:val="center"/>
              <w:rPr/>
            </w:pPr>
            <w:r>
              <w:rPr/>
              <w:t>50%</w:t>
            </w:r>
          </w:p>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Beeville to Texas City Line which originates in Live Oak, County Texas and terminates in Bravoria County, Texas</w:t>
            </w:r>
          </w:p>
        </w:tc>
        <w:tc>
          <w:tcPr>
            <w:tcW w:w="990" w:type="dxa"/>
            <w:tcBorders/>
          </w:tcPr>
          <w:p>
            <w:pPr>
              <w:pStyle w:val="Normal"/>
              <w:jc w:val="center"/>
              <w:rPr/>
            </w:pPr>
            <w:r>
              <w:rPr/>
              <w:t>70</w:t>
            </w:r>
          </w:p>
          <w:p>
            <w:pPr>
              <w:pStyle w:val="Normal"/>
              <w:jc w:val="center"/>
              <w:rPr/>
            </w:pPr>
            <w:r>
              <w:rPr/>
              <w:t>115</w:t>
            </w:r>
          </w:p>
        </w:tc>
        <w:tc>
          <w:tcPr>
            <w:tcW w:w="1416" w:type="dxa"/>
            <w:tcBorders/>
          </w:tcPr>
          <w:p>
            <w:pPr>
              <w:pStyle w:val="Normal"/>
              <w:jc w:val="center"/>
              <w:rPr/>
            </w:pPr>
            <w:r>
              <w:rPr/>
              <w:t>18"</w:t>
            </w:r>
          </w:p>
          <w:p>
            <w:pPr>
              <w:pStyle w:val="Normal"/>
              <w:jc w:val="center"/>
              <w:rPr/>
            </w:pPr>
            <w:r>
              <w:rPr/>
              <w:t>24"</w:t>
            </w:r>
          </w:p>
        </w:tc>
        <w:tc>
          <w:tcPr>
            <w:tcW w:w="1728" w:type="dxa"/>
            <w:tcBorders/>
          </w:tcPr>
          <w:p>
            <w:pPr>
              <w:pStyle w:val="Normal"/>
              <w:jc w:val="center"/>
              <w:rPr/>
            </w:pPr>
            <w:r>
              <w:rPr/>
              <w:t>100%</w:t>
            </w:r>
          </w:p>
          <w:p>
            <w:pPr>
              <w:pStyle w:val="Normal"/>
              <w:jc w:val="center"/>
              <w:rPr/>
            </w:pPr>
            <w:r>
              <w:rPr/>
              <w:t>100%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A/S Line which originates in Nueces County, Texas and terminates in Newton County, Texas including compressor stations located in Texas Counties of Calhoun, Refugio, and San Patricio</w:t>
            </w:r>
          </w:p>
        </w:tc>
        <w:tc>
          <w:tcPr>
            <w:tcW w:w="990" w:type="dxa"/>
            <w:tcBorders/>
          </w:tcPr>
          <w:p>
            <w:pPr>
              <w:pStyle w:val="Normal"/>
              <w:jc w:val="center"/>
              <w:rPr/>
            </w:pPr>
            <w:r>
              <w:rPr/>
              <w:t>300</w:t>
            </w:r>
          </w:p>
        </w:tc>
        <w:tc>
          <w:tcPr>
            <w:tcW w:w="1416" w:type="dxa"/>
            <w:tcBorders/>
          </w:tcPr>
          <w:p>
            <w:pPr>
              <w:pStyle w:val="Normal"/>
              <w:jc w:val="center"/>
              <w:rPr/>
            </w:pPr>
            <w:r>
              <w:rPr/>
              <w:t>30"</w:t>
            </w:r>
          </w:p>
        </w:tc>
        <w:tc>
          <w:tcPr>
            <w:tcW w:w="1728" w:type="dxa"/>
            <w:tcBorders/>
          </w:tcPr>
          <w:p>
            <w:pPr>
              <w:pStyle w:val="Normal"/>
              <w:jc w:val="center"/>
              <w:rPr/>
            </w:pPr>
            <w:r>
              <w:rPr/>
              <w:t>50%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Texoma Line which originates in Lamar County, Texas and terminates in Hardin County, Texas</w:t>
            </w:r>
          </w:p>
        </w:tc>
        <w:tc>
          <w:tcPr>
            <w:tcW w:w="990" w:type="dxa"/>
            <w:tcBorders/>
          </w:tcPr>
          <w:p>
            <w:pPr>
              <w:pStyle w:val="Normal"/>
              <w:jc w:val="center"/>
              <w:rPr/>
            </w:pPr>
            <w:r>
              <w:rPr/>
              <w:t>266</w:t>
            </w:r>
          </w:p>
        </w:tc>
        <w:tc>
          <w:tcPr>
            <w:tcW w:w="1416" w:type="dxa"/>
            <w:tcBorders/>
          </w:tcPr>
          <w:p>
            <w:pPr>
              <w:pStyle w:val="Normal"/>
              <w:jc w:val="center"/>
              <w:rPr/>
            </w:pPr>
            <w:r>
              <w:rPr/>
              <w:t>30"</w:t>
            </w:r>
          </w:p>
        </w:tc>
        <w:tc>
          <w:tcPr>
            <w:tcW w:w="1728" w:type="dxa"/>
            <w:tcBorders/>
          </w:tcPr>
          <w:p>
            <w:pPr>
              <w:pStyle w:val="Normal"/>
              <w:jc w:val="center"/>
              <w:rPr/>
            </w:pPr>
            <w:r>
              <w:rPr/>
              <w:t>100%</w:t>
            </w:r>
          </w:p>
        </w:tc>
      </w:tr>
      <w:tr>
        <w:trPr>
          <w:trHeight w:val="144" w:hRule="exact"/>
        </w:trPr>
        <w:tc>
          <w:tcPr>
            <w:tcW w:w="4158" w:type="dxa"/>
            <w:tcBorders/>
          </w:tcPr>
          <w:p>
            <w:pPr>
              <w:pStyle w:val="Normal"/>
              <w:snapToGrid w:val="false"/>
              <w:jc w:val="both"/>
              <w:rPr/>
            </w:pPr>
            <w:r>
              <w:rPr/>
            </w:r>
          </w:p>
        </w:tc>
        <w:tc>
          <w:tcPr>
            <w:tcW w:w="990" w:type="dxa"/>
            <w:tcBorders/>
          </w:tcPr>
          <w:p>
            <w:pPr>
              <w:pStyle w:val="Normal"/>
              <w:snapToGrid w:val="false"/>
              <w:jc w:val="center"/>
              <w:rPr/>
            </w:pPr>
            <w:r>
              <w:rPr/>
            </w:r>
          </w:p>
        </w:tc>
        <w:tc>
          <w:tcPr>
            <w:tcW w:w="1416" w:type="dxa"/>
            <w:tcBorders/>
          </w:tcPr>
          <w:p>
            <w:pPr>
              <w:pStyle w:val="Normal"/>
              <w:snapToGrid w:val="false"/>
              <w:jc w:val="center"/>
              <w:rPr/>
            </w:pPr>
            <w:r>
              <w:rPr/>
            </w:r>
          </w:p>
        </w:tc>
        <w:tc>
          <w:tcPr>
            <w:tcW w:w="1728" w:type="dxa"/>
            <w:tcBorders/>
          </w:tcPr>
          <w:p>
            <w:pPr>
              <w:pStyle w:val="Normal"/>
              <w:snapToGrid w:val="false"/>
              <w:jc w:val="center"/>
              <w:rPr/>
            </w:pPr>
            <w:r>
              <w:rPr/>
            </w:r>
          </w:p>
        </w:tc>
      </w:tr>
      <w:tr>
        <w:trPr/>
        <w:tc>
          <w:tcPr>
            <w:tcW w:w="4158" w:type="dxa"/>
            <w:tcBorders/>
          </w:tcPr>
          <w:p>
            <w:pPr>
              <w:pStyle w:val="Normal"/>
              <w:jc w:val="both"/>
              <w:rPr/>
            </w:pPr>
            <w:r>
              <w:rPr/>
              <w:t>Corpus Christi Loop, which serves the industrial markets in the Corpus Christi, TX area</w:t>
            </w:r>
          </w:p>
        </w:tc>
        <w:tc>
          <w:tcPr>
            <w:tcW w:w="990" w:type="dxa"/>
            <w:tcBorders/>
          </w:tcPr>
          <w:p>
            <w:pPr>
              <w:pStyle w:val="Normal"/>
              <w:jc w:val="center"/>
              <w:rPr/>
            </w:pPr>
            <w:r>
              <w:rPr/>
              <w:t>90</w:t>
            </w:r>
          </w:p>
        </w:tc>
        <w:tc>
          <w:tcPr>
            <w:tcW w:w="1416" w:type="dxa"/>
            <w:tcBorders/>
          </w:tcPr>
          <w:p>
            <w:pPr>
              <w:pStyle w:val="Normal"/>
              <w:jc w:val="center"/>
              <w:rPr/>
            </w:pPr>
            <w:r>
              <w:rPr/>
              <w:t>12"</w:t>
            </w:r>
          </w:p>
        </w:tc>
        <w:tc>
          <w:tcPr>
            <w:tcW w:w="1728" w:type="dxa"/>
            <w:tcBorders/>
          </w:tcPr>
          <w:p>
            <w:pPr>
              <w:pStyle w:val="Normal"/>
              <w:jc w:val="center"/>
              <w:rPr/>
            </w:pPr>
            <w:r>
              <w:rPr/>
              <w:t>100%</w:t>
            </w:r>
          </w:p>
        </w:tc>
      </w:tr>
    </w:tbl>
    <w:p>
      <w:pPr>
        <w:pStyle w:val="Normal"/>
        <w:jc w:val="both"/>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4.13</w:t>
      </w:r>
    </w:p>
    <w:p>
      <w:pPr>
        <w:pStyle w:val="Normal"/>
        <w:jc w:val="center"/>
        <w:rPr/>
      </w:pPr>
      <w:r>
        <w:rPr/>
        <w:t>Material Contracts</w:t>
      </w:r>
    </w:p>
    <w:p>
      <w:pPr>
        <w:pStyle w:val="Normal"/>
        <w:jc w:val="center"/>
        <w:rPr/>
      </w:pPr>
      <w:r>
        <w:rPr/>
      </w:r>
    </w:p>
    <w:p>
      <w:pPr>
        <w:pStyle w:val="Normal"/>
        <w:jc w:val="center"/>
        <w:rPr/>
      </w:pPr>
      <w:r>
        <w:rPr/>
      </w:r>
    </w:p>
    <w:p>
      <w:pPr>
        <w:pStyle w:val="Normal"/>
        <w:ind w:hanging="720" w:start="720" w:end="0"/>
        <w:jc w:val="both"/>
        <w:rPr/>
      </w:pPr>
      <w:r>
        <w:rPr/>
        <w:t>(a)</w:t>
      </w:r>
    </w:p>
    <w:p>
      <w:pPr>
        <w:pStyle w:val="Normal"/>
        <w:ind w:hanging="720" w:start="720" w:end="0"/>
        <w:jc w:val="both"/>
        <w:rPr/>
      </w:pPr>
      <w:r>
        <w:rPr/>
        <w:t>(i)</w:t>
      </w:r>
    </w:p>
    <w:p>
      <w:pPr>
        <w:pStyle w:val="Normal"/>
        <w:ind w:hanging="720" w:start="720" w:end="0"/>
        <w:jc w:val="both"/>
        <w:rPr/>
      </w:pPr>
      <w:r>
        <w:rPr/>
      </w:r>
    </w:p>
    <w:p>
      <w:pPr>
        <w:pStyle w:val="Normal"/>
        <w:ind w:hanging="720" w:start="1440" w:end="0"/>
        <w:jc w:val="both"/>
        <w:rPr/>
      </w:pPr>
      <w:r>
        <w:rPr/>
        <w:t>1.</w:t>
        <w:tab/>
        <w:t>Ownership Agreement between Channel Industries Gas Company and Houston Pipe Line Company (“HPL”) dated January 1, 1997  [A/S Pipeline]</w:t>
      </w:r>
    </w:p>
    <w:p>
      <w:pPr>
        <w:pStyle w:val="Normal"/>
        <w:rPr/>
      </w:pPr>
      <w:r>
        <w:rPr/>
      </w:r>
    </w:p>
    <w:p>
      <w:pPr>
        <w:pStyle w:val="Normal"/>
        <w:ind w:hanging="720" w:start="1440" w:end="0"/>
        <w:rPr/>
      </w:pPr>
      <w:r>
        <w:rPr/>
        <w:t>2.</w:t>
        <w:tab/>
        <w:t>Construction, Ownership, Operating and Maintenance Agreement between Gulf Energy Pipeline Company and HPL dated August 20, 1992, as amended November 30, 1995 and March 20, 1997  [Big Cowboy System]</w:t>
      </w:r>
    </w:p>
    <w:p>
      <w:pPr>
        <w:pStyle w:val="Normal"/>
        <w:rPr/>
      </w:pPr>
      <w:r>
        <w:rPr/>
      </w:r>
    </w:p>
    <w:p>
      <w:pPr>
        <w:pStyle w:val="Normal"/>
        <w:ind w:hanging="720" w:start="1440" w:end="0"/>
        <w:rPr/>
      </w:pPr>
      <w:r>
        <w:rPr/>
        <w:t>3.</w:t>
        <w:tab/>
        <w:t>Construction, Operating and Tax Agreement between Intrastate Gathering Corporation and HPL dated November 19, 1985, as amended May 1, 1990, and by letter dated July 16, 1990; [Intrastate Gathering Corporation changed name to Gulf Energy Pipeline Company effective May 1, 1987] [South Texas Line]</w:t>
      </w:r>
    </w:p>
    <w:p>
      <w:pPr>
        <w:pStyle w:val="Normal"/>
        <w:rPr/>
      </w:pPr>
      <w:r>
        <w:rPr/>
      </w:r>
    </w:p>
    <w:p>
      <w:pPr>
        <w:pStyle w:val="Normal"/>
        <w:ind w:hanging="720" w:start="1440" w:end="0"/>
        <w:rPr/>
      </w:pPr>
      <w:r>
        <w:rPr/>
        <w:t>4.</w:t>
        <w:tab/>
        <w:t xml:space="preserve">Construction and Operating Agreement between Intrastate Gathering Corporation and HPL dated September 19, 1986, as amended by 3 letters each dated September 19, 1986 for Gas Transportation, Compression and Aid to Construction, letter dated December 2, 1988, rental claims  [Austin Line] </w:t>
      </w:r>
    </w:p>
    <w:p>
      <w:pPr>
        <w:pStyle w:val="Normal"/>
        <w:rPr/>
      </w:pPr>
      <w:r>
        <w:rPr/>
      </w:r>
    </w:p>
    <w:p>
      <w:pPr>
        <w:pStyle w:val="Normal"/>
        <w:ind w:hanging="720" w:start="1440" w:end="0"/>
        <w:rPr/>
      </w:pPr>
      <w:r>
        <w:rPr/>
        <w:t>5.</w:t>
        <w:tab/>
        <w:t>Amended and Restated Limited Partnership Agreement of HPL Compression Company, L.P. (“HPLCC”) among HPL, Hanover SPE, L.L.C., Enron Texoma Gas Company and Middle Looper, L.L.C. dated December 29, 1998 [Looper] [HPLCC will be dissolved prior to Closing.]</w:t>
      </w:r>
    </w:p>
    <w:p>
      <w:pPr>
        <w:pStyle w:val="Normal"/>
        <w:rPr/>
      </w:pPr>
      <w:r>
        <w:rPr/>
      </w:r>
    </w:p>
    <w:p>
      <w:pPr>
        <w:pStyle w:val="Normal"/>
        <w:ind w:hanging="720" w:start="1440" w:end="0"/>
        <w:rPr/>
      </w:pPr>
      <w:r>
        <w:rPr/>
        <w:t>7.</w:t>
        <w:tab/>
        <w:t>Mechanical Maintenance Agreement between Hanover Compressor Company (“Hanover”) and HPLCC dated November 12, 1998, as amended [Looper] [This Agreement which expires in December of 2001 will be assigned to HPL prior to closing]</w:t>
      </w:r>
    </w:p>
    <w:p>
      <w:pPr>
        <w:pStyle w:val="Normal"/>
        <w:rPr/>
      </w:pPr>
      <w:r>
        <w:rPr/>
      </w:r>
    </w:p>
    <w:p>
      <w:pPr>
        <w:pStyle w:val="Normal"/>
        <w:ind w:hanging="720" w:start="1440" w:end="0"/>
        <w:rPr/>
      </w:pPr>
      <w:r>
        <w:rPr/>
        <w:t>8.</w:t>
        <w:tab/>
        <w:t>Transportation and Compression Services Agreement between HPLCC and HPL dated November 1, 1998 [Looper]; [this agreement will be terminated prior to closing].</w:t>
      </w:r>
    </w:p>
    <w:p>
      <w:pPr>
        <w:pStyle w:val="Normal"/>
        <w:rPr/>
      </w:pPr>
      <w:r>
        <w:rPr/>
      </w:r>
    </w:p>
    <w:p>
      <w:pPr>
        <w:pStyle w:val="Normal"/>
        <w:ind w:hanging="720" w:start="1440" w:end="0"/>
        <w:rPr/>
      </w:pPr>
      <w:r>
        <w:rPr/>
        <w:t>9.</w:t>
        <w:tab/>
        <w:t>Electric Power Management Agreement between Enron Compression Services Company and HPLCC dated December 1, 1998  [Looper]  [This will be terminated prior to Closing].</w:t>
      </w:r>
    </w:p>
    <w:p>
      <w:pPr>
        <w:pStyle w:val="Normal"/>
        <w:rPr/>
      </w:pPr>
      <w:r>
        <w:rPr/>
      </w:r>
    </w:p>
    <w:p>
      <w:pPr>
        <w:pStyle w:val="Normal"/>
        <w:ind w:hanging="720" w:start="1440" w:end="0"/>
        <w:rPr/>
      </w:pPr>
      <w:r>
        <w:rPr/>
        <w:t>10.</w:t>
        <w:tab/>
        <w:t>Purchase Agreement between Hanover and HPL dated September 29, 1997 [Hanover I]</w:t>
      </w:r>
    </w:p>
    <w:p>
      <w:pPr>
        <w:pStyle w:val="Normal"/>
        <w:rPr/>
      </w:pPr>
      <w:r>
        <w:rPr/>
      </w:r>
    </w:p>
    <w:p>
      <w:pPr>
        <w:pStyle w:val="Normal"/>
        <w:ind w:hanging="720" w:start="1440" w:end="0"/>
        <w:rPr/>
      </w:pPr>
      <w:r>
        <w:rPr/>
        <w:t>11.</w:t>
        <w:tab/>
        <w:t>Purchase Agreement between Hanover and HPL dated April 1, 1998 [Hanover II]</w:t>
      </w:r>
    </w:p>
    <w:p>
      <w:pPr>
        <w:pStyle w:val="Normal"/>
        <w:rPr/>
      </w:pPr>
      <w:r>
        <w:rPr/>
      </w:r>
    </w:p>
    <w:p>
      <w:pPr>
        <w:pStyle w:val="Normal"/>
        <w:ind w:hanging="720" w:start="1440" w:end="0"/>
        <w:rPr/>
      </w:pPr>
      <w:r>
        <w:rPr/>
        <w:t>12.</w:t>
        <w:tab/>
        <w:t>Purchase Agreement between Hanover and HPL dated June 29, 1999 [Hanover III]</w:t>
      </w:r>
    </w:p>
    <w:p>
      <w:pPr>
        <w:pStyle w:val="Normal"/>
        <w:rPr/>
      </w:pPr>
      <w:r>
        <w:rPr/>
      </w:r>
    </w:p>
    <w:p>
      <w:pPr>
        <w:pStyle w:val="Normal"/>
        <w:ind w:hanging="720" w:start="1440" w:end="0"/>
        <w:rPr/>
      </w:pPr>
      <w:r>
        <w:rPr/>
        <w:t>13.</w:t>
        <w:tab/>
        <w:t>Purchase Agreement between Hanover and HPL dated March 31, 2000  [Hanover IV]</w:t>
      </w:r>
    </w:p>
    <w:p>
      <w:pPr>
        <w:pStyle w:val="Normal"/>
        <w:rPr/>
      </w:pPr>
      <w:r>
        <w:rPr/>
      </w:r>
    </w:p>
    <w:p>
      <w:pPr>
        <w:pStyle w:val="Normal"/>
        <w:ind w:hanging="720" w:start="1440" w:end="0"/>
        <w:rPr/>
      </w:pPr>
      <w:r>
        <w:rPr/>
        <w:t>14.</w:t>
        <w:tab/>
        <w:t>Compression Management Agreement between Hanover and HPL dated September 30, 1997, as amended by two amendments effective as of March 1, 1998, and two other amendments dated as of April 1, 1999 and March 31, 2000, [Hanover I, II, III, IV]</w:t>
      </w:r>
    </w:p>
    <w:p>
      <w:pPr>
        <w:pStyle w:val="Normal"/>
        <w:rPr/>
      </w:pPr>
      <w:r>
        <w:rPr/>
      </w:r>
    </w:p>
    <w:p>
      <w:pPr>
        <w:pStyle w:val="Normal"/>
        <w:ind w:hanging="720" w:start="1440" w:end="0"/>
        <w:rPr/>
      </w:pPr>
      <w:r>
        <w:rPr/>
        <w:t>15.</w:t>
        <w:tab/>
        <w:t>Amended and Restated Limited Partnership Agreement of Hanover Measurement Services Company, L.P. between HPL and Hanover Measurement, LLC dated September 30, 1999   [Note the HMS partnership interest is an Excluded Asset which will be assigned to Leaseco prior to Closing]</w:t>
      </w:r>
    </w:p>
    <w:p>
      <w:pPr>
        <w:pStyle w:val="Normal"/>
        <w:rPr/>
      </w:pPr>
      <w:r>
        <w:rPr/>
      </w:r>
    </w:p>
    <w:p>
      <w:pPr>
        <w:pStyle w:val="Normal"/>
        <w:ind w:hanging="720" w:start="1440" w:end="0"/>
        <w:rPr/>
      </w:pPr>
      <w:r>
        <w:rPr/>
        <w:t>16.</w:t>
        <w:tab/>
        <w:t xml:space="preserve">Measurement and Associated Services SubAgreement between HMS and Meter Acquisition Company, LP, LLLP (“MAC”) dated September 30, 1999  [Note that this agreement will be amended prior to Closing so that HPL will be the Post-Closing recipient of these measuring services, </w:t>
      </w:r>
      <w:r>
        <w:rPr>
          <w:bCs/>
        </w:rPr>
        <w:t>with respect to both leased meters and non-leased meters</w:t>
      </w:r>
      <w:r>
        <w:rPr/>
        <w:t>.]</w:t>
      </w:r>
    </w:p>
    <w:p>
      <w:pPr>
        <w:pStyle w:val="Normal"/>
        <w:rPr/>
      </w:pPr>
      <w:r>
        <w:rPr/>
      </w:r>
    </w:p>
    <w:p>
      <w:pPr>
        <w:pStyle w:val="Normal"/>
        <w:ind w:hanging="720" w:start="1440" w:end="0"/>
        <w:rPr/>
      </w:pPr>
      <w:r>
        <w:rPr/>
        <w:t>17.</w:t>
        <w:tab/>
        <w:t>Measurement and Associated Services Agreement between HPL and MAC dated September 30, 1999  [Note that MAC will be dissolved prior to Closing; this Agreement will be terminated and the non-leased Meters will be conveyed to HPL and the remainder of the meters, the leased Meters, will be conveyed to Leaseco and be part of the leased assets under the Sublease Agreement.]</w:t>
      </w:r>
    </w:p>
    <w:p>
      <w:pPr>
        <w:pStyle w:val="Normal"/>
        <w:rPr/>
      </w:pPr>
      <w:r>
        <w:rPr/>
      </w:r>
    </w:p>
    <w:p>
      <w:pPr>
        <w:pStyle w:val="Normal"/>
        <w:ind w:hanging="720" w:start="1440" w:end="0"/>
        <w:rPr/>
      </w:pPr>
      <w:r>
        <w:rPr/>
        <w:t>18.</w:t>
        <w:tab/>
        <w:t xml:space="preserve">First Amended and Restated Agreement for Shared-Use Of Frequencies and Communications Facilities between HPL and HMS dated September 30, 1999  </w:t>
      </w:r>
    </w:p>
    <w:p>
      <w:pPr>
        <w:pStyle w:val="Normal"/>
        <w:rPr/>
      </w:pPr>
      <w:r>
        <w:rPr/>
      </w:r>
    </w:p>
    <w:p>
      <w:pPr>
        <w:pStyle w:val="Normal"/>
        <w:ind w:hanging="720" w:start="1440" w:end="0"/>
        <w:rPr/>
      </w:pPr>
      <w:r>
        <w:rPr/>
        <w:t>19.</w:t>
        <w:tab/>
        <w:t xml:space="preserve">Procurement, Repair and Construction Agreement between HMS and HPL dated September 30, 1999  </w:t>
      </w:r>
    </w:p>
    <w:p>
      <w:pPr>
        <w:pStyle w:val="Normal"/>
        <w:ind w:hanging="720" w:start="1440" w:end="0"/>
        <w:rPr/>
      </w:pPr>
      <w:r>
        <w:rPr/>
      </w:r>
    </w:p>
    <w:p>
      <w:pPr>
        <w:pStyle w:val="Normal"/>
        <w:ind w:hanging="720" w:start="1440" w:end="0"/>
        <w:rPr/>
      </w:pPr>
      <w:r>
        <w:rPr/>
        <w:t>20.</w:t>
        <w:tab/>
        <w:t>Pressurization and Storage Gas Borrowing Agreement dated as of 12/30/97 by and among HPL and HPL Resources Company and the Bank of New York as trustee of the Bammel Gas Trust will be assigned to Leaseco prior to Closing.</w:t>
      </w:r>
    </w:p>
    <w:p>
      <w:pPr>
        <w:pStyle w:val="Normal"/>
        <w:ind w:hanging="720" w:start="1440" w:end="0"/>
        <w:rPr/>
      </w:pPr>
      <w:r>
        <w:rPr/>
      </w:r>
    </w:p>
    <w:p>
      <w:pPr>
        <w:pStyle w:val="Normal"/>
        <w:ind w:hanging="720" w:start="1440" w:end="0"/>
        <w:rPr/>
      </w:pPr>
      <w:r>
        <w:rPr/>
        <w:t>21.</w:t>
        <w:tab/>
        <w:t>Amended and Restated General Partnership Agreement of MidTexas Pipeline Company (“MTP”) effective as of August 19, 1994 between HPL and TECO Pipeline Company, as amended by Amendment effective as of June 30, 1998.  [This Agreement will be amended prior to Closing in connection with the unwind of the MidTexas monetization.]</w:t>
      </w:r>
    </w:p>
    <w:p>
      <w:pPr>
        <w:pStyle w:val="Normal"/>
        <w:ind w:hanging="720" w:start="1440" w:end="0"/>
        <w:rPr/>
      </w:pPr>
      <w:r>
        <w:rPr/>
      </w:r>
    </w:p>
    <w:p>
      <w:pPr>
        <w:pStyle w:val="Normal"/>
        <w:ind w:hanging="720" w:start="1440" w:end="0"/>
        <w:rPr/>
      </w:pPr>
      <w:r>
        <w:rPr/>
        <w:t>22.</w:t>
        <w:tab/>
        <w:t>Operating Agreement dated December 15, 1995 between HPL and MTP, as amended by Ratification of and Amendment to Operating Agreement effective as of June 30, 1998.  (This agreement may be amended in connection with the unwind of the MidTexas monetization.)</w:t>
      </w:r>
    </w:p>
    <w:p>
      <w:pPr>
        <w:pStyle w:val="Normal"/>
        <w:ind w:hanging="720" w:start="1440" w:end="0"/>
        <w:rPr/>
      </w:pPr>
      <w:r>
        <w:rPr/>
      </w:r>
    </w:p>
    <w:p>
      <w:pPr>
        <w:pStyle w:val="Normal"/>
        <w:ind w:hanging="720" w:start="1440" w:end="0"/>
        <w:rPr/>
      </w:pPr>
      <w:r>
        <w:rPr/>
        <w:t>23.</w:t>
        <w:tab/>
        <w:t>Gas Transportation Agreement dated August 19, 1994, between HPL and TECO, as amended by Amendment to Gas Transportation Agreement effective as of June 30, 1998.  (This Agreement may be amended in connection with the unwind of the MidTexas monetization.)</w:t>
      </w:r>
    </w:p>
    <w:p>
      <w:pPr>
        <w:pStyle w:val="Normal"/>
        <w:ind w:hanging="720" w:start="1440" w:end="0"/>
        <w:rPr/>
      </w:pPr>
      <w:r>
        <w:rPr/>
      </w:r>
    </w:p>
    <w:p>
      <w:pPr>
        <w:pStyle w:val="Normal"/>
        <w:ind w:hanging="720" w:start="1440" w:end="0"/>
        <w:rPr/>
      </w:pPr>
      <w:r>
        <w:rPr/>
        <w:t>24.</w:t>
        <w:tab/>
        <w:t>Capital Construction Agreement dated July 18, 2000 between Coastline Resources, Inc. and HPL.</w:t>
      </w:r>
    </w:p>
    <w:p>
      <w:pPr>
        <w:pStyle w:val="Normal"/>
        <w:ind w:hanging="720" w:start="1440" w:end="0"/>
        <w:rPr/>
      </w:pPr>
      <w:r>
        <w:rPr/>
      </w:r>
    </w:p>
    <w:p>
      <w:pPr>
        <w:pStyle w:val="Normal"/>
        <w:ind w:hanging="720" w:start="1440" w:end="0"/>
        <w:rPr/>
      </w:pPr>
      <w:r>
        <w:rPr/>
        <w:t>25.</w:t>
        <w:tab/>
        <w:t>Unit Agreement between Houston Natural Gas Production Company (Grantor) and J. F. Bahr, et al (Grantee), dated January 1, 1966.</w:t>
      </w:r>
    </w:p>
    <w:p>
      <w:pPr>
        <w:pStyle w:val="Normal"/>
        <w:ind w:hanging="720" w:start="1440" w:end="0"/>
        <w:rPr/>
      </w:pPr>
      <w:r>
        <w:rPr/>
      </w:r>
    </w:p>
    <w:p>
      <w:pPr>
        <w:pStyle w:val="Normal"/>
        <w:ind w:hanging="720" w:start="1440" w:end="0"/>
        <w:rPr/>
      </w:pPr>
      <w:r>
        <w:rPr/>
        <w:t>26.</w:t>
        <w:tab/>
        <w:t>First Amendment of Unit Agreement between Houston Natural Gas Production Company (Grantor) and J. F. Bahr, et al (Grantee), dated effective November 22, 1966.</w:t>
      </w:r>
    </w:p>
    <w:p>
      <w:pPr>
        <w:pStyle w:val="Normal"/>
        <w:ind w:hanging="720" w:start="1440" w:end="0"/>
        <w:rPr/>
      </w:pPr>
      <w:r>
        <w:rPr/>
      </w:r>
    </w:p>
    <w:p>
      <w:pPr>
        <w:pStyle w:val="Normal"/>
        <w:ind w:hanging="720" w:start="1440" w:end="0"/>
        <w:rPr/>
      </w:pPr>
      <w:r>
        <w:rPr/>
        <w:t>27.</w:t>
        <w:tab/>
        <w:t>Second Amendment of Unit Agreement between Houston Natural Gas Production Company (Grantor”) and J. F. Bahr, et al (Grantee), dated effective November 1, 1966.</w:t>
      </w:r>
    </w:p>
    <w:p>
      <w:pPr>
        <w:pStyle w:val="Normal"/>
        <w:ind w:hanging="720" w:start="1440" w:end="0"/>
        <w:rPr/>
      </w:pPr>
      <w:r>
        <w:rPr/>
      </w:r>
    </w:p>
    <w:p>
      <w:pPr>
        <w:pStyle w:val="Normal"/>
        <w:ind w:hanging="720" w:start="1440" w:end="0"/>
        <w:rPr/>
      </w:pPr>
      <w:r>
        <w:rPr/>
        <w:t>28.</w:t>
        <w:tab/>
        <w:t>Third Amendment of Unit Agreement between Houston Natural Gas Production Company (Grantor) and J. F. Bahr, et al (Grantee), dated effective January 1, 1968.</w:t>
      </w:r>
    </w:p>
    <w:p>
      <w:pPr>
        <w:pStyle w:val="Normal"/>
        <w:ind w:hanging="720" w:start="1440" w:end="0"/>
        <w:rPr/>
      </w:pPr>
      <w:r>
        <w:rPr/>
      </w:r>
    </w:p>
    <w:p>
      <w:pPr>
        <w:pStyle w:val="Normal"/>
        <w:ind w:hanging="720" w:start="1440" w:end="0"/>
        <w:rPr/>
      </w:pPr>
      <w:r>
        <w:rPr/>
        <w:t>29.</w:t>
        <w:tab/>
        <w:t>That certain performance guaranty issued by HPL in favor of Entex guaranteeing the obligations of ENA under the Entex Sales Contract.</w:t>
      </w:r>
    </w:p>
    <w:p>
      <w:pPr>
        <w:pStyle w:val="Normal"/>
        <w:jc w:val="both"/>
        <w:rPr/>
      </w:pPr>
      <w:r>
        <w:rPr/>
      </w:r>
    </w:p>
    <w:p>
      <w:pPr>
        <w:pStyle w:val="Normal"/>
        <w:jc w:val="both"/>
        <w:rPr/>
      </w:pPr>
      <w:r>
        <w:rPr/>
        <w:t>See also responses listed in (ii), (v), (vi) and (vii) below.</w:t>
      </w:r>
    </w:p>
    <w:p>
      <w:pPr>
        <w:pStyle w:val="Normal"/>
        <w:ind w:start="1080" w:end="0"/>
        <w:jc w:val="both"/>
        <w:rPr/>
      </w:pPr>
      <w:r>
        <w:rPr/>
      </w:r>
    </w:p>
    <w:p>
      <w:pPr>
        <w:pStyle w:val="BodyTextIndent2"/>
        <w:tabs>
          <w:tab w:val="clear" w:pos="1080"/>
          <w:tab w:val="left" w:pos="720" w:leader="none"/>
        </w:tabs>
        <w:ind w:hanging="720" w:start="720" w:end="0"/>
        <w:jc w:val="both"/>
        <w:rPr/>
      </w:pPr>
      <w:r>
        <w:rPr/>
        <w:t>(ii)</w:t>
        <w:tab/>
        <w:t>Lease Agreement effective November 10, 1999 between HPL Asset Holdings L.P. as Lessor and HPL as Lessee.  This Lease Agreement will be assigned by HPL to Leaseco prior to the Closing, and a new Sublease in the form of Exhibit 3.2(e) between Leaseco and HPL will be entered into.</w:t>
      </w:r>
    </w:p>
    <w:p>
      <w:pPr>
        <w:pStyle w:val="Normal"/>
        <w:tabs>
          <w:tab w:val="clear" w:pos="720"/>
          <w:tab w:val="left" w:pos="1080" w:leader="none"/>
        </w:tabs>
        <w:ind w:start="360" w:end="0"/>
        <w:jc w:val="both"/>
        <w:rPr/>
      </w:pPr>
      <w:r>
        <w:rPr/>
      </w:r>
    </w:p>
    <w:p>
      <w:pPr>
        <w:pStyle w:val="Header"/>
        <w:tabs>
          <w:tab w:val="clear" w:pos="4680"/>
          <w:tab w:val="clear" w:pos="9360"/>
          <w:tab w:val="left" w:pos="720" w:leader="none"/>
        </w:tabs>
        <w:jc w:val="both"/>
        <w:rPr/>
      </w:pPr>
      <w:r>
        <w:rPr/>
        <w:t>(iii)</w:t>
        <w:tab/>
        <w:t>None</w:t>
      </w:r>
    </w:p>
    <w:p>
      <w:pPr>
        <w:pStyle w:val="Normal"/>
        <w:tabs>
          <w:tab w:val="clear" w:pos="720"/>
          <w:tab w:val="left" w:pos="1080" w:leader="none"/>
        </w:tabs>
        <w:ind w:start="360" w:end="0"/>
        <w:jc w:val="both"/>
        <w:rPr/>
      </w:pPr>
      <w:r>
        <w:rPr/>
      </w:r>
    </w:p>
    <w:p>
      <w:pPr>
        <w:pStyle w:val="Normal"/>
        <w:tabs>
          <w:tab w:val="left" w:pos="720" w:leader="none"/>
        </w:tabs>
        <w:jc w:val="both"/>
        <w:rPr/>
      </w:pPr>
      <w:r>
        <w:rPr/>
        <w:t>(iv)</w:t>
        <w:tab/>
        <w:t>None</w:t>
      </w:r>
    </w:p>
    <w:p>
      <w:pPr>
        <w:pStyle w:val="Normal"/>
        <w:tabs>
          <w:tab w:val="left" w:pos="720" w:leader="none"/>
        </w:tabs>
        <w:jc w:val="both"/>
        <w:rPr/>
      </w:pPr>
      <w:r>
        <w:rPr/>
      </w:r>
    </w:p>
    <w:p>
      <w:pPr>
        <w:pStyle w:val="BodyTextIndent2"/>
        <w:tabs>
          <w:tab w:val="clear" w:pos="1080"/>
          <w:tab w:val="left" w:pos="720" w:leader="none"/>
        </w:tabs>
        <w:ind w:hanging="720" w:start="720" w:end="0"/>
        <w:jc w:val="both"/>
        <w:rPr/>
      </w:pPr>
      <w:r>
        <w:rPr/>
        <w:t>(v)</w:t>
      </w:r>
      <w:r>
        <w:rPr>
          <w:b/>
          <w:bCs/>
        </w:rPr>
        <w:tab/>
      </w:r>
      <w:r>
        <w:rPr/>
        <w:t>The following sets forth those gas exchange agreements, gas purchase contracts and gas sales contracts which either (A) provides for receipt or payment by an Acquired Company of more than $5,000,000 annually, or (B) provides for receipt or payment by an Acquired Company of $2,000,000 or more annually and which as of the date hereof has a primary term remaining of at least twelve (12) months, excluding any master agreement pursuant to which spot sale transactions are made but including any master agreement with outstanding confirmations thereunder which confirmation is within the disclosure parameters of this subsection (v).</w:t>
      </w:r>
      <w:r>
        <w:rPr>
          <w:b/>
          <w:bCs/>
        </w:rPr>
        <w:t xml:space="preserve">  </w:t>
      </w:r>
      <w:r>
        <w:rPr/>
        <w:t>Together with, to the best of Seller’s knowledge, the amendments applicable thereto as reflected in Enron’s Global Contract System as of December 15, 2000.</w:t>
      </w:r>
    </w:p>
    <w:p>
      <w:pPr>
        <w:pStyle w:val="Heading2"/>
        <w:ind w:hanging="0" w:start="0"/>
        <w:rPr>
          <w:b w:val="false"/>
          <w:bCs w:val="false"/>
        </w:rPr>
      </w:pPr>
      <w:r>
        <w:rPr>
          <w:b w:val="false"/>
          <w:bCs w:val="false"/>
        </w:rPr>
      </w:r>
    </w:p>
    <w:p>
      <w:pPr>
        <w:pStyle w:val="Normal"/>
        <w:numPr>
          <w:ilvl w:val="0"/>
          <w:numId w:val="17"/>
        </w:numPr>
        <w:tabs>
          <w:tab w:val="clear" w:pos="720"/>
          <w:tab w:val="left" w:pos="360" w:leader="none"/>
        </w:tabs>
        <w:ind w:hanging="360" w:start="360" w:end="0"/>
        <w:rPr/>
      </w:pPr>
      <w:r>
        <w:rPr/>
        <w:t>Enron Global Contract 96038495.  That certain Enfolio Firm Confirmation-Enfolio Firm General Terms and Conditions dated June 28, 2000 between Aquila Energy Marketing Corporation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96031514.  That certain Enfolio Firm Confirmation-Enfolio Firm General Terms and Conditions dated January 24, 2000 between Aquila Southwest Marketing, L.P.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96035789.  That certain Enfolio Firm Confirmation-Enfolio Firm General Terms and Conditions dated March 13, 2000 between Aquila Southwest Marketing, L.P.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96052802.  That certain Enfolio Gas Purchase Agreement (Reserves Committed/Index Pricing) dated December 1, 2000 between Bass Enterprises Production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96016884.  That certain Enfolio Gas Purchase Agreement (Reserves Committed/Index Pricing) dated August 1, 1998 between C&amp;E Operating, Inc. and Houston Pipe Line Company, as amended by Amendment effective.</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96053168.  That certain Enfolio Gas Purchase Agreement (Reserves Committed/Index Pricing) dated November 1, 2000 between Cabot Oil &amp; Gas Marketing Corporation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96034767.  That certain Enfolio Master Firm Purchase/Sale Agreement dated February 1, 2000 between Cannon Interests Houston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96014870.  That certain Enfolio Gas Purchase Agreement (Reserves Committed/Index Pricing) dated March 1, 1998 between Carrizo Oil &amp; Gas, Inc. (assignee of American Energy Partners,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That certain Gas Purchase Agreement between Houston Pipe Line Company and Enron North America Corp. to be put in place to serve as a back to back with the CES – Devon Energy Corporation and Enron North America Corp. Gas Purchase Agreement, known as Enron Global Contract 96030227, INSOFAR AND ONLY INSOFAR as said Agreement covers gas produced in Texas.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96048084.  That certain Enfolio Gas Purchase Agreement (Reserves Committed/Index Pricing/Marketer) dated September 1, 2000 between Cleco Energy,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96020990.  That certain Enfolio Gas Purchase Agreement (Reserves Committed/Index Pricing) dated June 1, 1999 between Cliffwood Oil &amp; Gas Corp. and Houston Pipe Line Company, as amended by Amendment effective August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96007987.  That certain Enfolio Gas Purchase Agreement (Reserves Committed/Index Pricing) dated April 1, 1996 between Coastal Oil &amp; Gas USA, L.P. (assignee of Suemaur Exploration, Inc.) and Houston Pipe Line Company, as amended by Amendments effective February 1, 1999, November 1, 1999 and April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96018049.  That certain Enfolio Gas Purchase Agreement (Master Wellhead/Field) dated November 1, 1998 between Cody Texas, L.P. (assignee of TransTexas Gas Corporation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96045720.  That certain Enfolio Gas Purchase Agreement (Reserves Committed/Index Pricing/Flexible Pricing) dated August 1, 2000 between Cokinos Natural Gas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96017730.  That certain Enfolio Gas Purchase Agreement (Reserves Committed/Index Pricing/Well Dedication) dated September 1, 1998 between Columbus Energy Corp. and Houston Pipe Line Company, as amended by Amendments effective January 1, 1999 and July 1, 1999.</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96003917.  That certain Gas Purchase Agreement dated November 24, 1992 between Comstock Oil &amp; Gas, Inc. (assignee of Black Stone Oil Company, et al) and Houston Pipe Line Company, (assignee of HPL Resources Company, successor to Natural Gas Marketing &amp; Storage Company) as amended and restated effective July 1, 1995 together with the Amendment dated June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96001783.  That certain Gas Purchase Agreement (Reserves Committed/Index Pricing) dated June 1, 1995 between Conoco, Inc. and Houston Pipe Line Company (assignee of HPL Resources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96050857.  That certain Enfolio Firm Confirmation-Enfolio Firm General Terms &amp; Conditions dated November 27, 2000 between Cornerstone Gas Gathering Co.,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96017091.  That certain Enfolio Gas Purchase Agreement (Reserves Committed/Index Pricing) dated July 1, 1998 between Dallas Production Inc. and Houston Pipe Line Company, as amended by Amendments effective December 1, 1998, March 1, 1999, March 1, 1999, December 1, 1999 and October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96022856.  That certain Enfolio Gas Purchase Agreement (Reserves Committed/Index Pricing) dated September 1, 1999 between Dominion Exploration &amp; Production, Inc. (formerly CNG Producing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96035117.  That certain Enfolio Master Firm Purchase/Sale Agreement dated January 1, 2000 between Duke Energy Field Services Marketing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96047508.  That certain Enfolio Firm Confirmation-Enfolio Firm General Terms and Conditions dated September 25, 2000 between Duke Energy Field Services Marketing,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96047514.  That certain Enfolio Firm Confirmation-Enfolio Firm General Terms and Conditions dated September 21, 2000 between Duke Energy Field Services Marketing,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96040513.  That certain Enfolio Firm Confirmation-Enfolio Firm General Terms and Conditions dated May 24, 2000 between e prime,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96033922.  That certain Enfolio Gas Purchase Agreement (Reserves Committed/Index Pricing/Well Dedication) dated January 1, 2000 between Eagle Gas Marketing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96044486.  That certain Enfolio Gas Purchase Agreement (Reserves Committed/Index Pricing) dated July 1, 2000 between EEX Operating, LP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Enron Global Contract 96002256.  That certain Gas Purchase Agreement dated March 1, 1988 between El Paso Production Company and Houston Pipe Line Company, as amended by Amendments effective September 20, 1990, January 1, 1991, July 1, 1992, July 1, 1992, July 1, 1992, July 1, 1992, January 1, 1993, October1, 1993, April 1, 1995.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96032996.  That certain Enfolio Gas Purchase Agreement (Reserves Committed/Index Pricing/Flexible Pricing) dated March 1, 1988 between Cliffwood Oil &amp; Gas Corp. and Houston Pipe Line Company, as amended by Amendments effective September 20, 1990, January 1, 1991, July 1, 1992, July 1, 1992, July 1, 1992, July 1, 1992, January 1, 1993, October 1, 1993 and April 1, 1995.</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96001780.  That certain Gas Purchase Agreement dated March 1, 1988 between EOG Resources, Inc. (successor to Enron Oil &amp; Gas Company) and Houston Pipe Line Company (assignee of HPL Resources Company, successor to Natural Gas Marketing &amp; Storage Company) as amended by Amendments dated September 20, 1990, January 1, 1991, July 1, 1992, January 1, 1993, October 1, 1993, April 1, 1995, May 1, 1997, July 1, 1997 and October 1, 1997.</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96001795.  That certain Gas Purchase Agreement dated March 1, 1988 between EOG Resources, Inc. (successor to Enron Oil &amp; Gas Company) and Houston Pipe Line Company (assignee of HPL Resources Company, successor to Natural Gas Marketing &amp; Storage Company) as amended by Amendments dated September 20, 1990, January 1, 1991, July 1, 1992, January 1, 1993, October 1, 1993, April 1, 1995, June 1, 1995, December 1, 1995, May 1, 1997, July 1, 1997, October 1, 1997, and December 1, 1997.</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96017489.  That certain Enfolio Gas Purchase Agreement (Reserves Committed/Index Pricing) dated December 1, 1997 between EOG Resources, Inc. (successor to Enron Oil &amp; Gas Company) and Houston Pipe Line Company, as amended by Amendment effective approximately January 1, 1999.</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96019270.  That certain Enfolio Gas Purchase Agreement (Reserves Committed/Index Pricing) dated  between EOG Resources, Inc. (successor to Enron Oil &amp; Gas Company)  and Houston Pipe Line Company, as amended by Amendment effective December 15, 1998.</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96020744.  That certain Enfolio Gas Purchase Agreement (Reserves Committed/Index Pricing) dated February 1, 1999 between EOG Resources, Inc. (successor to Enron Oil &amp; Gas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96021983.  That certain Enfolio Master Firm Purchase/Sale Agreement dated October 1, 1993 between EOG Resources, Inc. (successor to Enron Oil &amp; Gas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96023210.  That certain Enfolio Gas Purchase Agreement (Reserves Committed/Index Pricing) dated  August 1, 1999 between EOG Resources, Inc. (successor to Enron Oil &amp; Gas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96023216.  That certain Enfolio Gas Purchase Agreement (Reserves Committed/Index Pricing) dated between EOG Resources, Inc. (successor to Enron Oil &amp; Gas Company) and Houston Pipe Line Company, as amended by Amendment effective June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96023435.  That certain Enfolio Gas Purchase Agreement (Reserves Committed/Index Pricing) dated September 1, 1999 between EOG Resources,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96032366.  That certain Enfolio Gas Purchase Agreement (Reserves Committed/Index Pricing) dated January 1, 2000 between ETOCO,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96032400.  That certain Enfolio Gas Purchase Agreement (Reserves Committed/Index Pricing/Flexible Pricing) dated January 1, 2000 between ETOCO,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96021318.  That certain Enfolio Gas Purchase Agreement (Reserves Committed/Index Pricing/Well Dedication) dated May 1, 1999 between Fairways Offshore Exploration,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96007597.  That certain Enfolio Gas Purchase Agreement (Reserves Committed/Index Pricing) dated May 1, 1997 between Forest Oil Corporation and Houston Pipe Line Company, as amended by Amendment effective November 1, 1999.</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96049286.  That certain Revised Enfolio Firm Confirmation--Enfolio Firm General Terms and Conditions dated October 16, 2000 between Forest Oil Corporation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96044599.  That certain Enfolio Gas Purchase Agreement (Reserves Committed/Index Pricing) dated July 1, 2000 between Galveston Bay Resources,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96037431.  That certain Enfolio Master Firm Purchase/Sale Agreement (Company to Purchase) dated April 1, 2000 between Gas Solutions, Ltd.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96048343.  That certain Enfolio Firm Confirmation-Enfolio Firm General Terms and Conditions dated October 25, 2000 between Goldston Oil Corporation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96001880.  That certain Gas Purchase Contract dated January 9, 1985 between GSF Energy, L.L.C. and Houston Pipe Line Company, as amended by Amendments dated September 1, 1986, November 10, 1986, January 29, 1987, April 2, 1992, October 7, 1992, and August 31, 1994.</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96046469.  That certain Enfolio Gas Purchase Agreement (Reserves Committed/Index Pricing) dated July 1, 2000 between Helmerich &amp; Payne,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96016765.  That certain Enfolio Gas Purchase Agreement (Reserves Committed/Index Pricing) dated August 1, 1998 between KCS Resources, Inc. (KCS Energy Marketing, Inc., as Seller’s Representative) and Houston Pipe Line Company, as amended by Amendments dated April 30, 1999, November 1, 1999, and April 25,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96016179.  That certain Enfolio Gas Purchase Agreement (Reserves Committed/Index Pricing/Flexible Pricing) dated March 1, 1998 between Louis Dreyfus Natural Gas Corp. (formerly Costilla Energy, Inc.) and Houston Pipe Line Company, as amended by Amendments effective May 1, 1998, March 1, 1999, and September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96019871.  That certain Enfolio Gas Purchase Agreement (Reserves Committed/Index Pricing) dated January 1, 1999 between Marquee Corporation and Houston Pipe Line Company, as amended by Amendment effective January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96030300.  That certain Enfolio Gas Purchase Agreement (Reserves Committed/Index Pricing) dated December 1, 1999 between Maynard Oil Company and Houston Pipe Line Company, as amended by Amendment effective December 1, 1999.</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96019995.  That certain Enfolio Gas Purchase Agreement (Reserves Committed/Index Pricing) dated March 1, 1999 between McBee Operating Company, L.L.C. and Houston Pipe Line Company, as amended by Amendments effective September 1, 1999, April 1, 2000 and October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Enron Global Contract 96004824.  That certain Enfolio Gas Purchase Agreement (Reserves Committed/Index Pricing) dated March 1, 1997 between North Central Oil Corporation and Houston Pipe Line Company, as amended by Amendments effective January 1, 1999 and January 1, 2000.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Enron Global Contract 96027187.  That certain Enfolio Gas Purchase Agreement (Reserves Committed/Index Pricing) dated October 1, 1999 between North Central Oil Corporation and Houston Pipe Line Company, as amended by Amendment dated April 1, 2000.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96043020.  That certain Enfolio Firm Confirmation—Enfolio Firm General Terms and Conditions Governs dated June 27, 2000 between ONEOK Energy Marketing and Trading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96016771.  That certain Firm Gas Sales Agreement dated September 1, 1998 between PG&amp;E Texas Industrial Energy, L.P.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96010083.  That certain Enfolio Gas Purchase Agreement (Reserves Committed/Index Pricing) dated December 1, 1997 between Prize Energy Corp. (formerly Pioneer Resources Producing L.P.) and Houston Pipe Line Company, as amended by Amendment effective June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96046466.  That certain Revised Enfolio Firm Confirmation-Enfolio Firm General Terms and Conditions dated September 27, 2000 between R. Lacy,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Enron Global Contract 96014845.  That certain Enfolio Gas Purchase Agreement (Reserves Committed/Index Pricing) dated September 1, 1996 between Samson Lone Star Limited Partnership (formerly Burlington Resources Oil &amp; Gas Company) and Houston Pipe Line Company.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960534104.  That certain unexecuted Enfolio Gas Purchase Agreement (Reserves Committed/Index Pricing) dated November 1, 2000 between Samson Lonestar Limited Partnership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96020164.  That certain Enfolio Gas Purchase Agreement (Reserves Committed/Index Pricing/Well Dedication) dated March 1, 1999 between Sanchez Oil &amp; Gas Corporation, Anschutz Gulf Coast Corporation and Houston Pipe Line Company, as amended by Amendment effective January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96034922.  That certain Enfolio Gas Purchase Agreement (Reserves Committed/Index Pricing/Marketer) dated January 1, 2000 between Shoreline Gas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96041099.  That certain Enfolio Firm Confirmation –General Terms &amp; Conditions Agreement dated December 1, 2000 between Southern Company Energy Marketing, L.P.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96046001.  That certain Enfolio Gas Purchase Agreement (Reserves Committed/Index Pricing) Offshore Waters dated July 1, 2000 between Spinnaker Exploration Company, L.L.C. and Houston Pipe Line Company together with Condensate Services Agreement dated effective July 21,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96020745.  That certain Enfolio Gas Purchase Agreement (Reserves Committed/Index Pricing/Flexible Pricing) dated April 1, 1999 between Suemaur Exploration &amp; Production,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96023525.  That certain Enfolio Gas Purchase Agreement (Reserves Committed/Index Pricing) dated August 1, 1999 between Suemaur Exploration &amp; Production,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96023532.  That certain Enfolio Gas Purchase Agreement (Reserves Committed/Index Pricing) dated August 1, 1999 between Suemaur Exploration &amp; Production, L.L.C.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96004853.  That certain Gas Purchase Agreement dated December 1, 1996 between Sun Operating Limited Partnership and Houston Pipe Line Company (assignee of HPL Resources Company), as amended by Amendment dated June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96023483.  That certain Enfolio Gas Purchase Agreement (Reserves Committed/Index Pricing/Flexible Pricing) dated October 1, 1999 between Superior Natural Gas Corporation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Enron Global Contract 96028089.  That certain Enfolio Gas Purchase Agreement (Reserves Committed/Index Pricing/Well Dedication) dated November 1, 1999 between Walter Oil &amp; Gas Corporation and Houston Pipe Line Company.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96019997.  That certain Enfolio Gas Purchase Agreement (Reserves Committed/Index Pricing) dated March 1, 1999 between Synergy Oil &amp; Gas, Inc. and Houston Pipe Line Company, as amended by Amendment dated December 1, 1999.</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96016294.  That certain Enfolio Gas Purchase Agreement (Reserves Committed/Index Pricing) dated January 1, 1998 between O’Connor &amp; Hewitt, LTD and Houston Pipe Line Company, as amended by Amendment and Restatement dated January 1, 1998.</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96003649.  That certain Master Purchase/Sale Agreement dated September 1, 1996 between Teco Gas Processing Company and Houston Pipe Line Company (assignee of HPL Resources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96008801.  That certain Gas Processing Agreement dated June 1, 1997 between Tejones Operating Corp. (assignee of James C. Freeman) and Houston Pipe Line Company (assignee of Three Rivers Gas Gathering Company), as amended by Amendment dated April 1, 2000.</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96037425.  That certain Enfolio Gas Purchase Agreement (Reserves Committed/Index Pricing/Well Dedication) dated March 1, 2000 between Texaco Exploration and Production Inc.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 xml:space="preserve">Enron Global Contract 96040969.  That certain Enfolio Firm Confirmation-Enfolio Firm General Terms and Conditions dated June 1, 2000 between Texas Energy Transfer Company, Ltd. and Houston Pipe Line Company. </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96004553.  That certain Enfolio Gas Purchase Agreement (Reserves Committed/Index Pricing/Marketer) dated November 1, 1996 between Upstream Energy Services Company, L.L.C. and Houston Pipe Line Company (assignee of HPL Resources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96033509.  That certain Enfolio Gas Purchase Agreement (Reserves Committed/Index Pricing/Marketer/Well Dedication(s)) dated January 1, 2000 between Union Gas Operating Company and Houston Pipe Line Company.</w:t>
      </w:r>
    </w:p>
    <w:p>
      <w:pPr>
        <w:pStyle w:val="Normal"/>
        <w:tabs>
          <w:tab w:val="clear" w:pos="720"/>
          <w:tab w:val="left" w:pos="360" w:leader="none"/>
        </w:tabs>
        <w:ind w:hanging="360" w:start="360" w:end="0"/>
        <w:rPr/>
      </w:pPr>
      <w:r>
        <w:rPr/>
      </w:r>
    </w:p>
    <w:p>
      <w:pPr>
        <w:pStyle w:val="Normal"/>
        <w:numPr>
          <w:ilvl w:val="0"/>
          <w:numId w:val="17"/>
        </w:numPr>
        <w:tabs>
          <w:tab w:val="clear" w:pos="720"/>
          <w:tab w:val="left" w:pos="360" w:leader="none"/>
        </w:tabs>
        <w:ind w:hanging="360" w:start="360" w:end="0"/>
        <w:rPr/>
      </w:pPr>
      <w:r>
        <w:rPr/>
        <w:t>Enron Global Contract 96040456.  That certain Enfolio Master Purchase/Sale Agreement dated March 1, 2000 between Western Gas Resources, Inc. and Enron North America Corp., as amended by Amendment dated July 10, 2000.</w:t>
      </w:r>
    </w:p>
    <w:p>
      <w:pPr>
        <w:pStyle w:val="Normal"/>
        <w:rPr>
          <w:color w:val="000000"/>
        </w:rPr>
      </w:pPr>
      <w:r>
        <w:rPr>
          <w:color w:val="000000"/>
        </w:rPr>
      </w:r>
    </w:p>
    <w:p>
      <w:pPr>
        <w:pStyle w:val="Normal"/>
        <w:rPr>
          <w:color w:val="000000"/>
        </w:rPr>
      </w:pPr>
      <w:r>
        <w:rPr>
          <w:color w:val="000000"/>
        </w:rPr>
      </w:r>
    </w:p>
    <w:p>
      <w:pPr>
        <w:pStyle w:val="BodyTextIndent"/>
        <w:ind w:hanging="540" w:end="0"/>
        <w:rPr>
          <w:b/>
        </w:rPr>
      </w:pPr>
      <w:r>
        <w:rPr>
          <w:b/>
        </w:rPr>
        <w:t>SALES</w:t>
      </w:r>
    </w:p>
    <w:p>
      <w:pPr>
        <w:pStyle w:val="BodyTextIndent"/>
        <w:ind w:hanging="540" w:end="0"/>
        <w:rPr>
          <w:b/>
        </w:rPr>
      </w:pPr>
      <w:r>
        <w:rPr>
          <w:b/>
        </w:rPr>
      </w:r>
    </w:p>
    <w:p>
      <w:pPr>
        <w:pStyle w:val="BodyTextIndent"/>
        <w:numPr>
          <w:ilvl w:val="0"/>
          <w:numId w:val="16"/>
        </w:numPr>
        <w:rPr/>
      </w:pPr>
      <w:r>
        <w:rPr/>
        <w:t>Enron Global Contract 96000282.  That certain Gas Sales Agreement dated December 22, 1993 by and between Air Products, Incorporated and Houston Pipe Line Company as amended by Amendments dated October 1, 1993, October 1, 1994, October 1, 1995, March 1, 1998, September 1, 1998, September 1, 1999, April 1, 2000 and October 1, 2000.</w:t>
      </w:r>
    </w:p>
    <w:p>
      <w:pPr>
        <w:pStyle w:val="BodyTextIndent"/>
        <w:ind w:hanging="540" w:end="0"/>
        <w:rPr>
          <w:b/>
        </w:rPr>
      </w:pPr>
      <w:r>
        <w:rPr>
          <w:b/>
        </w:rPr>
      </w:r>
    </w:p>
    <w:p>
      <w:pPr>
        <w:pStyle w:val="BodyTextIndent"/>
        <w:numPr>
          <w:ilvl w:val="0"/>
          <w:numId w:val="16"/>
        </w:numPr>
        <w:rPr/>
      </w:pPr>
      <w:r>
        <w:rPr/>
        <w:t>Enron Global Contract 96021316.  That certain Enfolio Master Firm Purchase/Sale Agreement dated November 1, 1997 between BASF Corporation and Houston Pipe Line Company.</w:t>
      </w:r>
    </w:p>
    <w:p>
      <w:pPr>
        <w:pStyle w:val="BodyTextIndent"/>
        <w:ind w:hanging="540" w:end="0"/>
        <w:rPr>
          <w:b/>
        </w:rPr>
      </w:pPr>
      <w:r>
        <w:rPr>
          <w:b/>
        </w:rPr>
      </w:r>
    </w:p>
    <w:p>
      <w:pPr>
        <w:pStyle w:val="BodyTextIndent"/>
        <w:numPr>
          <w:ilvl w:val="0"/>
          <w:numId w:val="16"/>
        </w:numPr>
        <w:rPr/>
      </w:pPr>
      <w:r>
        <w:rPr/>
        <w:t>Enron Global Contract 96000341.  That certain Gas Sales Contract dated September 29, 1993 between BP Chemicals, Inc. and Houston Pipe Line Company, as amended by Amendment effective November 1, 1996.</w:t>
      </w:r>
    </w:p>
    <w:p>
      <w:pPr>
        <w:pStyle w:val="BodyTextIndent"/>
        <w:ind w:hanging="540" w:end="0"/>
        <w:rPr>
          <w:b/>
        </w:rPr>
      </w:pPr>
      <w:r>
        <w:rPr>
          <w:b/>
        </w:rPr>
      </w:r>
    </w:p>
    <w:p>
      <w:pPr>
        <w:pStyle w:val="BodyTextIndent"/>
        <w:numPr>
          <w:ilvl w:val="0"/>
          <w:numId w:val="16"/>
        </w:numPr>
        <w:rPr/>
      </w:pPr>
      <w:r>
        <w:rPr/>
        <w:t>Enron Global Contract 96014706.  That certain Enfolio Master Firm Purchase/Sale Agreement dated March 31, 1998 between Calpine Fuels Texas, Corporation and Houston Pipe Line Company (assignee of Enron Capital &amp; Trade Resources Corp.</w:t>
      </w:r>
    </w:p>
    <w:p>
      <w:pPr>
        <w:pStyle w:val="BodyTextIndent"/>
        <w:rPr/>
      </w:pPr>
      <w:r>
        <w:rPr/>
      </w:r>
    </w:p>
    <w:p>
      <w:pPr>
        <w:pStyle w:val="BodyTextIndent"/>
        <w:numPr>
          <w:ilvl w:val="0"/>
          <w:numId w:val="16"/>
        </w:numPr>
        <w:rPr/>
      </w:pPr>
      <w:r>
        <w:rPr/>
        <w:t>Enron Global Contract 96014780.  That certain Gas Sales Agreement For Delivery of Gas at Meter No. 1424 dated December 1, 1995 between Calpine Fuels Texas, Corporation (assignee of DEI Texas, Inc.) and Houston Pipe Line Company (assignee of Enron Capital &amp; Trade Resources Corp.) as amended by Amendment dated March 31, 1998.</w:t>
      </w:r>
    </w:p>
    <w:p>
      <w:pPr>
        <w:pStyle w:val="BodyTextIndent"/>
        <w:ind w:start="0" w:end="0"/>
        <w:rPr/>
      </w:pPr>
      <w:r>
        <w:rPr/>
      </w:r>
    </w:p>
    <w:p>
      <w:pPr>
        <w:pStyle w:val="BodyTextIndent"/>
        <w:numPr>
          <w:ilvl w:val="0"/>
          <w:numId w:val="16"/>
        </w:numPr>
        <w:rPr/>
      </w:pPr>
      <w:r>
        <w:rPr/>
        <w:t>Enron Global Contract 96034767.  That certain Enfolio Master Firm Purchase/Sale Agreement dated February 1, 2000 between Cannon Interests Houston and Houston Pipe Line Company.</w:t>
      </w:r>
    </w:p>
    <w:p>
      <w:pPr>
        <w:pStyle w:val="BodyTextIndent"/>
        <w:ind w:start="0" w:end="0"/>
        <w:rPr/>
      </w:pPr>
      <w:r>
        <w:rPr/>
      </w:r>
    </w:p>
    <w:p>
      <w:pPr>
        <w:pStyle w:val="BodyTextIndent"/>
        <w:numPr>
          <w:ilvl w:val="0"/>
          <w:numId w:val="16"/>
        </w:numPr>
        <w:rPr/>
      </w:pPr>
      <w:r>
        <w:rPr/>
        <w:t>Enron Global Contract 96037368.  That certain Enfolio Firm Confirmation-Enfolio Firm General Terms and Conditions dated March 23, 2000 between Central Power and Light Company and Houston Pipe Line Company</w:t>
      </w:r>
    </w:p>
    <w:p>
      <w:pPr>
        <w:pStyle w:val="BodyTextIndent"/>
        <w:ind w:start="0" w:end="0"/>
        <w:rPr/>
      </w:pPr>
      <w:r>
        <w:rPr/>
      </w:r>
    </w:p>
    <w:p>
      <w:pPr>
        <w:pStyle w:val="BodyTextIndent"/>
        <w:numPr>
          <w:ilvl w:val="0"/>
          <w:numId w:val="16"/>
        </w:numPr>
        <w:rPr/>
      </w:pPr>
      <w:r>
        <w:rPr/>
        <w:t>Enron Global Contract 96047950.  That certain Enfolio Firm Confirmation-Enfolio Firm General Terms and Conditions dated August 1, 2000 between Cerrito Gas Marketing Company and Houston Pipe Line Company.</w:t>
      </w:r>
    </w:p>
    <w:p>
      <w:pPr>
        <w:pStyle w:val="BodyTextIndent"/>
        <w:ind w:hanging="540" w:end="0"/>
        <w:rPr>
          <w:b/>
        </w:rPr>
      </w:pPr>
      <w:r>
        <w:rPr>
          <w:b/>
        </w:rPr>
      </w:r>
    </w:p>
    <w:p>
      <w:pPr>
        <w:pStyle w:val="BodyTextIndent"/>
        <w:numPr>
          <w:ilvl w:val="0"/>
          <w:numId w:val="16"/>
        </w:numPr>
        <w:rPr/>
      </w:pPr>
      <w:r>
        <w:rPr/>
        <w:t>Enron Global Contract 96047863.  That certain unexecuted contract dated October 1, 2000 between Chevron Phillips Chemical Company LP and Houston Pipe Line Company.</w:t>
      </w:r>
    </w:p>
    <w:p>
      <w:pPr>
        <w:pStyle w:val="BodyTextIndent"/>
        <w:ind w:hanging="540" w:end="0"/>
        <w:rPr>
          <w:b/>
        </w:rPr>
      </w:pPr>
      <w:r>
        <w:rPr>
          <w:b/>
        </w:rPr>
      </w:r>
    </w:p>
    <w:p>
      <w:pPr>
        <w:pStyle w:val="BodyTextIndent"/>
        <w:numPr>
          <w:ilvl w:val="0"/>
          <w:numId w:val="16"/>
        </w:numPr>
        <w:rPr/>
      </w:pPr>
      <w:r>
        <w:rPr/>
        <w:t>Enron Global Contract 96043433.  That certain Enfolio Firm Confirmation-Enfolio Firm General Terms and Conditions dated July 7, 2000 between Coast Energy Group, a division of Cornerstone Propane, L.P. and Houston Pipe Line Company.</w:t>
      </w:r>
    </w:p>
    <w:p>
      <w:pPr>
        <w:pStyle w:val="BodyTextIndent"/>
        <w:ind w:hanging="540" w:end="0"/>
        <w:rPr>
          <w:b/>
        </w:rPr>
      </w:pPr>
      <w:r>
        <w:rPr>
          <w:b/>
        </w:rPr>
      </w:r>
    </w:p>
    <w:p>
      <w:pPr>
        <w:pStyle w:val="BodyTextIndent"/>
        <w:numPr>
          <w:ilvl w:val="0"/>
          <w:numId w:val="16"/>
        </w:numPr>
        <w:rPr/>
      </w:pPr>
      <w:r>
        <w:rPr/>
        <w:t>Enron Global Contract 96045644.  That certain Enfolio Firm Confirmation-Enfolio Firm General Terms and Conditions dated August 24, 2000 between Coast Energy Group, a division of Cornerstone Propane, L.P. and Houston Pipe Line Company.</w:t>
      </w:r>
    </w:p>
    <w:p>
      <w:pPr>
        <w:pStyle w:val="BodyTextIndent"/>
        <w:ind w:start="0" w:end="0"/>
        <w:rPr/>
      </w:pPr>
      <w:r>
        <w:rPr/>
      </w:r>
    </w:p>
    <w:p>
      <w:pPr>
        <w:pStyle w:val="BodyTextIndent"/>
        <w:numPr>
          <w:ilvl w:val="0"/>
          <w:numId w:val="16"/>
        </w:numPr>
        <w:rPr/>
      </w:pPr>
      <w:r>
        <w:rPr/>
        <w:t>Enron Global Contract 96001551.  That certain Firm Confirmation-Enfolio Firm General Terms and Conditions dated May 1, 1996 between Corpus Christi Gas Marketing, LP and Houston Pipe Line Company.</w:t>
      </w:r>
    </w:p>
    <w:p>
      <w:pPr>
        <w:pStyle w:val="BodyTextIndent"/>
        <w:ind w:start="0" w:end="0"/>
        <w:rPr>
          <w:b/>
        </w:rPr>
      </w:pPr>
      <w:r>
        <w:rPr>
          <w:b/>
        </w:rPr>
      </w:r>
    </w:p>
    <w:p>
      <w:pPr>
        <w:pStyle w:val="BodyTextIndent"/>
        <w:numPr>
          <w:ilvl w:val="0"/>
          <w:numId w:val="16"/>
        </w:numPr>
        <w:rPr/>
      </w:pPr>
      <w:r>
        <w:rPr/>
        <w:t>Enron Global Contract 96000364.  That certain Gas Sales Agreement dated June 1, 1993 between Diamond Shamrock Refining &amp; Marketing Company and Houston Pipe Line Company.</w:t>
      </w:r>
    </w:p>
    <w:p>
      <w:pPr>
        <w:pStyle w:val="BodyTextIndent"/>
        <w:ind w:hanging="540" w:end="0"/>
        <w:rPr>
          <w:b/>
        </w:rPr>
      </w:pPr>
      <w:r>
        <w:rPr>
          <w:b/>
        </w:rPr>
      </w:r>
    </w:p>
    <w:p>
      <w:pPr>
        <w:pStyle w:val="BodyTextIndent"/>
        <w:numPr>
          <w:ilvl w:val="0"/>
          <w:numId w:val="16"/>
        </w:numPr>
        <w:rPr/>
      </w:pPr>
      <w:r>
        <w:rPr/>
        <w:t>Enron Global Contract 96000769.  That certain Gas Sales Contract dated April 10, 1990 between Dixie Chemical Company, Incorporated and Houston Pipe Line Company, as amended by Amendments effective July 1, 1993, October 1, 1993 and February 1, 2000.</w:t>
      </w:r>
    </w:p>
    <w:p>
      <w:pPr>
        <w:pStyle w:val="BodyTextIndent"/>
        <w:ind w:start="0" w:end="0"/>
        <w:rPr/>
      </w:pPr>
      <w:r>
        <w:rPr/>
      </w:r>
    </w:p>
    <w:p>
      <w:pPr>
        <w:pStyle w:val="BodyTextIndent"/>
        <w:numPr>
          <w:ilvl w:val="0"/>
          <w:numId w:val="16"/>
        </w:numPr>
        <w:rPr/>
      </w:pPr>
      <w:r>
        <w:rPr/>
        <w:t>Enron Global Contract 96035117.  That certain Enfolio Master Firm Purchase/Sale Agreement dated January 1, 2000 between Duke Energy Field Services Marketing, LLC and Houston Pipe Line Company.</w:t>
      </w:r>
    </w:p>
    <w:p>
      <w:pPr>
        <w:pStyle w:val="BodyTextIndent"/>
        <w:ind w:start="0" w:end="0"/>
        <w:rPr/>
      </w:pPr>
      <w:r>
        <w:rPr/>
      </w:r>
    </w:p>
    <w:p>
      <w:pPr>
        <w:pStyle w:val="BodyTextIndent"/>
        <w:numPr>
          <w:ilvl w:val="0"/>
          <w:numId w:val="16"/>
        </w:numPr>
        <w:rPr/>
      </w:pPr>
      <w:r>
        <w:rPr/>
        <w:t>Enron Global Contract 96040513.  That certain Enfolio Firm Confirmation-Enfolio Firm General Terms and Conditions dated May 24, 2000 between e prime, inc. and Houston Pipe Line Company.</w:t>
      </w:r>
    </w:p>
    <w:p>
      <w:pPr>
        <w:pStyle w:val="BodyTextIndent"/>
        <w:ind w:start="0" w:end="0"/>
        <w:rPr>
          <w:b/>
        </w:rPr>
      </w:pPr>
      <w:r>
        <w:rPr>
          <w:b/>
        </w:rPr>
        <w:t xml:space="preserve"> </w:t>
      </w:r>
    </w:p>
    <w:p>
      <w:pPr>
        <w:pStyle w:val="BodyTextIndent"/>
        <w:numPr>
          <w:ilvl w:val="0"/>
          <w:numId w:val="16"/>
        </w:numPr>
        <w:rPr/>
      </w:pPr>
      <w:r>
        <w:rPr/>
        <w:t>Enron Global Contract 96000853.  That certain Gas Sales Contract dated October 7, 1991 between EniChem Americas, Inc. and Houston Pipe Line Company, as amended by Amendment effective April 1, 2000.</w:t>
      </w:r>
    </w:p>
    <w:p>
      <w:pPr>
        <w:pStyle w:val="BodyTextIndent"/>
        <w:ind w:hanging="540" w:end="0"/>
        <w:rPr>
          <w:b/>
        </w:rPr>
      </w:pPr>
      <w:r>
        <w:rPr>
          <w:b/>
        </w:rPr>
      </w:r>
    </w:p>
    <w:p>
      <w:pPr>
        <w:pStyle w:val="BodyTextIndent"/>
        <w:numPr>
          <w:ilvl w:val="0"/>
          <w:numId w:val="16"/>
        </w:numPr>
        <w:rPr/>
      </w:pPr>
      <w:r>
        <w:rPr/>
        <w:t>Enron Global Contract 96018827.  That certain unexecuted Enfolio Firm Confirmation-Enfolio Firm General Terms and Conditions dated December 15, 1999 between Enron Methanol Company and Houston Pipe Line Company.</w:t>
      </w:r>
    </w:p>
    <w:p>
      <w:pPr>
        <w:pStyle w:val="BodyTextIndent"/>
        <w:ind w:hanging="540" w:end="0"/>
        <w:rPr>
          <w:b/>
        </w:rPr>
      </w:pPr>
      <w:r>
        <w:rPr>
          <w:b/>
        </w:rPr>
      </w:r>
    </w:p>
    <w:p>
      <w:pPr>
        <w:pStyle w:val="BodyTextIndent"/>
        <w:numPr>
          <w:ilvl w:val="0"/>
          <w:numId w:val="16"/>
        </w:numPr>
        <w:rPr/>
      </w:pPr>
      <w:r>
        <w:rPr/>
        <w:t>Enron Global Contract 96031541.  That certain Enfolio Master Firm Purchase/Sale Agreement dated October 1, 1999 between Entex Gas Marketing Company and Enron North America Corp.</w:t>
      </w:r>
    </w:p>
    <w:p>
      <w:pPr>
        <w:pStyle w:val="BodyTextIndent"/>
        <w:ind w:hanging="540" w:end="0"/>
        <w:rPr>
          <w:b/>
        </w:rPr>
      </w:pPr>
      <w:r>
        <w:rPr>
          <w:b/>
        </w:rPr>
      </w:r>
    </w:p>
    <w:p>
      <w:pPr>
        <w:pStyle w:val="BodyTextIndent"/>
        <w:ind w:start="0" w:end="0"/>
        <w:rPr>
          <w:b/>
        </w:rPr>
      </w:pPr>
      <w:r>
        <w:rPr>
          <w:b/>
        </w:rPr>
      </w:r>
    </w:p>
    <w:p>
      <w:pPr>
        <w:pStyle w:val="BodyTextIndent"/>
        <w:numPr>
          <w:ilvl w:val="0"/>
          <w:numId w:val="16"/>
        </w:numPr>
        <w:rPr/>
      </w:pPr>
      <w:r>
        <w:rPr/>
        <w:t>Enron Global Contract 96000240.  That certain Master Purchase/Sale Agreement dated May 1, 1994 between Equistar Chemicals, LP and Houston Pipe Line Company.</w:t>
      </w:r>
    </w:p>
    <w:p>
      <w:pPr>
        <w:pStyle w:val="BodyTextIndent"/>
        <w:ind w:start="0" w:end="0"/>
        <w:rPr/>
      </w:pPr>
      <w:r>
        <w:rPr/>
      </w:r>
    </w:p>
    <w:p>
      <w:pPr>
        <w:pStyle w:val="BodyTextIndent"/>
        <w:numPr>
          <w:ilvl w:val="0"/>
          <w:numId w:val="16"/>
        </w:numPr>
        <w:rPr/>
      </w:pPr>
      <w:r>
        <w:rPr/>
        <w:t>Enron Global Contract 96037753.  That certain Revised Enfolio Firm Confirmation-Enfolio Firm General Terms and Conditions Govern dated effective June 1, 2000 between Equistar Chemicals, LP and Enron North America Corp.</w:t>
      </w:r>
    </w:p>
    <w:p>
      <w:pPr>
        <w:pStyle w:val="BodyTextIndent"/>
        <w:ind w:start="0" w:end="0"/>
        <w:rPr/>
      </w:pPr>
      <w:r>
        <w:rPr/>
      </w:r>
    </w:p>
    <w:p>
      <w:pPr>
        <w:pStyle w:val="BodyTextIndent"/>
        <w:numPr>
          <w:ilvl w:val="0"/>
          <w:numId w:val="16"/>
        </w:numPr>
        <w:rPr/>
      </w:pPr>
      <w:r>
        <w:rPr/>
        <w:t xml:space="preserve">Enron Global Contract 96050476.  That certain Enfolio Firm Confirmation-Enfolio Firm General Terms and Conditions dated October 26, 2000 between Equistar Chemical, LP and Enron North America Corp. </w:t>
      </w:r>
    </w:p>
    <w:p>
      <w:pPr>
        <w:pStyle w:val="BodyTextIndent"/>
        <w:ind w:start="0" w:end="0"/>
        <w:rPr/>
      </w:pPr>
      <w:r>
        <w:rPr/>
      </w:r>
    </w:p>
    <w:p>
      <w:pPr>
        <w:pStyle w:val="BodyTextIndent"/>
        <w:numPr>
          <w:ilvl w:val="0"/>
          <w:numId w:val="16"/>
        </w:numPr>
        <w:rPr/>
      </w:pPr>
      <w:r>
        <w:rPr/>
        <w:t>Enron Global Contract 96000517.  That certain Enfolio Master Firm Purchase/Sale Agreement dated August 1, 1995 between Formosa Hydrocarbons Company, Inc. and Houston Pipe Line Company and amendment dated December 2000.</w:t>
      </w:r>
    </w:p>
    <w:p>
      <w:pPr>
        <w:pStyle w:val="BodyTextIndent"/>
        <w:ind w:start="0" w:end="0"/>
        <w:rPr/>
      </w:pPr>
      <w:r>
        <w:rPr/>
      </w:r>
    </w:p>
    <w:p>
      <w:pPr>
        <w:pStyle w:val="BodyTextIndent"/>
        <w:numPr>
          <w:ilvl w:val="0"/>
          <w:numId w:val="16"/>
        </w:numPr>
        <w:rPr/>
      </w:pPr>
      <w:r>
        <w:rPr/>
        <w:t xml:space="preserve">Enron Global Contract 96003470.  That certain Gas Sales Contract dated September 25, 1991 between Global Octanes Texas L.P. and Houston Pipe Line Company as amended by Amendment dated August 1, 1997 and by unexecuted Amendments dated July 1, 2000 and September 1, 2000. </w:t>
      </w:r>
    </w:p>
    <w:p>
      <w:pPr>
        <w:pStyle w:val="BodyTextIndent"/>
        <w:ind w:start="0" w:end="0"/>
        <w:rPr/>
      </w:pPr>
      <w:r>
        <w:rPr/>
      </w:r>
    </w:p>
    <w:p>
      <w:pPr>
        <w:pStyle w:val="BodyTextIndent"/>
        <w:numPr>
          <w:ilvl w:val="0"/>
          <w:numId w:val="16"/>
        </w:numPr>
        <w:rPr/>
      </w:pPr>
      <w:r>
        <w:rPr/>
        <w:t>Enron Global Contract 96029942.  That certain GISB Base Contract for Short-Term Sale and Purchase of Natural Gas dated June 11, 1999 between Guadalupe Power Partners LP and Houston Pipe Line Company (assignee of Enron Capital &amp; Trade Resources Corp.), as amended by Amendments dated August, 1999, September 22, 1999 and October 14, 1999.</w:t>
      </w:r>
    </w:p>
    <w:p>
      <w:pPr>
        <w:pStyle w:val="BodyTextIndent"/>
        <w:ind w:start="0" w:end="0"/>
        <w:rPr>
          <w:b/>
        </w:rPr>
      </w:pPr>
      <w:r>
        <w:rPr>
          <w:b/>
        </w:rPr>
        <w:t xml:space="preserve"> </w:t>
      </w:r>
    </w:p>
    <w:p>
      <w:pPr>
        <w:pStyle w:val="BodyTextIndent"/>
        <w:numPr>
          <w:ilvl w:val="0"/>
          <w:numId w:val="16"/>
        </w:numPr>
        <w:rPr/>
      </w:pPr>
      <w:r>
        <w:rPr/>
        <w:t>Enron Global Contract 96029943.  That certain GISB Base Contract for Short-Term Sale and Purchase of Natural Gas dated January 1, 1998 between Gulf Energy Marketing Company and Enron North America Corp., as amended by Amendment dated April 14, 1998 and November 13, 1998.</w:t>
      </w:r>
    </w:p>
    <w:p>
      <w:pPr>
        <w:pStyle w:val="BodyTextIndent"/>
        <w:ind w:hanging="540" w:end="0"/>
        <w:rPr>
          <w:b/>
        </w:rPr>
      </w:pPr>
      <w:r>
        <w:rPr>
          <w:b/>
        </w:rPr>
      </w:r>
    </w:p>
    <w:p>
      <w:pPr>
        <w:pStyle w:val="BodyTextIndent"/>
        <w:numPr>
          <w:ilvl w:val="0"/>
          <w:numId w:val="16"/>
        </w:numPr>
        <w:rPr/>
      </w:pPr>
      <w:r>
        <w:rPr/>
        <w:t>Enron Global Contract 96047376.  That certain Enfolio Master Firm Purchase/Sale Agreement dated August 1, 2000 between HUISH Detergents, Inc. and Houston Pipe Line Company.</w:t>
      </w:r>
    </w:p>
    <w:p>
      <w:pPr>
        <w:pStyle w:val="BodyTextIndent"/>
        <w:ind w:hanging="540" w:end="0"/>
        <w:rPr>
          <w:b/>
        </w:rPr>
      </w:pPr>
      <w:r>
        <w:rPr>
          <w:b/>
        </w:rPr>
      </w:r>
    </w:p>
    <w:p>
      <w:pPr>
        <w:pStyle w:val="BodyTextIndent"/>
        <w:numPr>
          <w:ilvl w:val="0"/>
          <w:numId w:val="16"/>
        </w:numPr>
        <w:rPr/>
      </w:pPr>
      <w:r>
        <w:rPr/>
        <w:t xml:space="preserve">Enron Global Contract 96034790.  That certain Enfolio Firm Confirmation-Enfolio Firm General Terms and Conditions dated March 1, 2000 between ICC Energy Corporation and Houston Pipe Line Company. </w:t>
      </w:r>
    </w:p>
    <w:p>
      <w:pPr>
        <w:pStyle w:val="BodyTextIndent"/>
        <w:ind w:hanging="540" w:end="0"/>
        <w:rPr>
          <w:b/>
        </w:rPr>
      </w:pPr>
      <w:r>
        <w:rPr>
          <w:b/>
        </w:rPr>
      </w:r>
    </w:p>
    <w:p>
      <w:pPr>
        <w:pStyle w:val="BodyTextIndent"/>
        <w:numPr>
          <w:ilvl w:val="0"/>
          <w:numId w:val="16"/>
        </w:numPr>
        <w:rPr/>
      </w:pPr>
      <w:r>
        <w:rPr/>
        <w:t>Enron Global Contract 96034732.  That certain Enfolio Master Firm Purchase/Sale Agreement dated February 1, 2000 between JC Energy Resources, Inc. and Enron North America Corp.</w:t>
      </w:r>
    </w:p>
    <w:p>
      <w:pPr>
        <w:pStyle w:val="BodyTextIndent"/>
        <w:ind w:hanging="540" w:end="0"/>
        <w:rPr>
          <w:b/>
        </w:rPr>
      </w:pPr>
      <w:r>
        <w:rPr>
          <w:b/>
        </w:rPr>
      </w:r>
    </w:p>
    <w:p>
      <w:pPr>
        <w:pStyle w:val="BodyTextIndent"/>
        <w:numPr>
          <w:ilvl w:val="0"/>
          <w:numId w:val="16"/>
        </w:numPr>
        <w:rPr/>
      </w:pPr>
      <w:r>
        <w:rPr/>
        <w:t>Enron Global Contract 96002388.  That certain Gas Sales Contract dated January 2, 1991 between Lonza, Inc. and Houston Pipe Line Company, as amended by Amendments dated January 1, 1991, July 1, 1994, and December 1, 1999.</w:t>
      </w:r>
    </w:p>
    <w:p>
      <w:pPr>
        <w:pStyle w:val="BodyTextIndent"/>
        <w:ind w:start="0" w:end="0"/>
        <w:rPr/>
      </w:pPr>
      <w:r>
        <w:rPr/>
      </w:r>
    </w:p>
    <w:p>
      <w:pPr>
        <w:pStyle w:val="BodyTextIndent"/>
        <w:numPr>
          <w:ilvl w:val="0"/>
          <w:numId w:val="16"/>
        </w:numPr>
        <w:rPr/>
      </w:pPr>
      <w:r>
        <w:rPr/>
        <w:t>Enron Global Contract 96003434.  That certain Gas Sales Contract dated December 6, 1990 between Louisiana-Pacific Corporation and Houston Pipe Line Company, as amended by Amendments dated March 1, 1992, February 27, 1996, April 1, 1999 and December 2000.</w:t>
      </w:r>
    </w:p>
    <w:p>
      <w:pPr>
        <w:pStyle w:val="BodyTextIndent"/>
        <w:ind w:hanging="540" w:end="0"/>
        <w:rPr>
          <w:b/>
        </w:rPr>
      </w:pPr>
      <w:r>
        <w:rPr>
          <w:b/>
        </w:rPr>
      </w:r>
    </w:p>
    <w:p>
      <w:pPr>
        <w:pStyle w:val="BodyTextIndent"/>
        <w:numPr>
          <w:ilvl w:val="0"/>
          <w:numId w:val="16"/>
        </w:numPr>
        <w:rPr/>
      </w:pPr>
      <w:r>
        <w:rPr/>
        <w:t>Enron Global Contract 96008792.  That certain Enfolio Master Firm Purchase/Sale Agreement April 1, 1997 between Lyondell-Citgo Refining Company, Ltd. and Houston Pipe Line Company.</w:t>
      </w:r>
    </w:p>
    <w:p>
      <w:pPr>
        <w:pStyle w:val="BodyTextIndent"/>
        <w:ind w:start="0" w:end="0"/>
        <w:rPr/>
      </w:pPr>
      <w:r>
        <w:rPr/>
      </w:r>
    </w:p>
    <w:p>
      <w:pPr>
        <w:pStyle w:val="BodyTextIndent"/>
        <w:numPr>
          <w:ilvl w:val="0"/>
          <w:numId w:val="16"/>
        </w:numPr>
        <w:rPr/>
      </w:pPr>
      <w:r>
        <w:rPr/>
        <w:t>Enron Global Contract 96019644.  That certain Enfolio Firm Confirmation—Enfolio Firm General Terms and Conditions dated October 27, 2000 between Marathon Ashland Petroleum, LLC and Houston Pipe Line Company.</w:t>
      </w:r>
    </w:p>
    <w:p>
      <w:pPr>
        <w:pStyle w:val="BodyTextIndent"/>
        <w:ind w:start="0" w:end="0"/>
        <w:rPr/>
      </w:pPr>
      <w:r>
        <w:rPr/>
      </w:r>
    </w:p>
    <w:p>
      <w:pPr>
        <w:pStyle w:val="BodyTextIndent"/>
        <w:numPr>
          <w:ilvl w:val="0"/>
          <w:numId w:val="16"/>
        </w:numPr>
        <w:rPr/>
      </w:pPr>
      <w:r>
        <w:rPr/>
        <w:t>Enron Global Contract 96017211.  That certain Enfolio Master Firm Purchase/Sale Agreement dated May 1, 1998 between MCNIC Pipeline &amp; Processing Company and Houston Pipe Line Company.</w:t>
      </w:r>
    </w:p>
    <w:p>
      <w:pPr>
        <w:pStyle w:val="BodyTextIndent"/>
        <w:ind w:start="0" w:end="0"/>
        <w:rPr/>
      </w:pPr>
      <w:r>
        <w:rPr/>
      </w:r>
    </w:p>
    <w:p>
      <w:pPr>
        <w:pStyle w:val="BodyTextIndent"/>
        <w:numPr>
          <w:ilvl w:val="0"/>
          <w:numId w:val="16"/>
        </w:numPr>
        <w:rPr/>
      </w:pPr>
      <w:r>
        <w:rPr/>
        <w:t xml:space="preserve">Enron Global Contract 96040927.  That certain Enfolio Firm Confirmation-Enfolio Firm General Terms and Conditions dated June 1, 2000 between American Central Energy, L.L.C. and Houston Pipe Line Company. </w:t>
      </w:r>
    </w:p>
    <w:p>
      <w:pPr>
        <w:pStyle w:val="BodyTextIndent"/>
        <w:ind w:start="0" w:end="0"/>
        <w:rPr>
          <w:b/>
        </w:rPr>
      </w:pPr>
      <w:r>
        <w:rPr>
          <w:b/>
        </w:rPr>
      </w:r>
    </w:p>
    <w:p>
      <w:pPr>
        <w:pStyle w:val="BodyTextIndent"/>
        <w:numPr>
          <w:ilvl w:val="0"/>
          <w:numId w:val="16"/>
        </w:numPr>
        <w:rPr/>
      </w:pPr>
      <w:r>
        <w:rPr/>
        <w:t>Enron Global Contract 96040778.  That certain Firm Confirmation—Attached General Terms and Conditions Govern dated May 18, 2000 between OXY Vinyls L.P. and Houston Pipe Line Company.</w:t>
      </w:r>
    </w:p>
    <w:p>
      <w:pPr>
        <w:pStyle w:val="BodyTextIndent"/>
        <w:ind w:hanging="540" w:end="0"/>
        <w:rPr>
          <w:b/>
        </w:rPr>
      </w:pPr>
      <w:r>
        <w:rPr>
          <w:b/>
        </w:rPr>
      </w:r>
    </w:p>
    <w:p>
      <w:pPr>
        <w:pStyle w:val="BodyTextIndent"/>
        <w:numPr>
          <w:ilvl w:val="0"/>
          <w:numId w:val="16"/>
        </w:numPr>
        <w:rPr/>
      </w:pPr>
      <w:r>
        <w:rPr/>
        <w:t>Enron Global Contract 96040779.  That certain Firm Confirmation—Attached General Terms and Conditions Govern dated May 18, 2000 between OXY Vinyls L.P. and Houston Pipe Line Company.</w:t>
      </w:r>
    </w:p>
    <w:p>
      <w:pPr>
        <w:pStyle w:val="BodyTextIndent"/>
        <w:ind w:start="0" w:end="0"/>
        <w:rPr>
          <w:highlight w:val="yellow"/>
        </w:rPr>
      </w:pPr>
      <w:r>
        <w:rPr>
          <w:highlight w:val="yellow"/>
        </w:rPr>
      </w:r>
    </w:p>
    <w:p>
      <w:pPr>
        <w:pStyle w:val="BodyTextIndent"/>
        <w:numPr>
          <w:ilvl w:val="0"/>
          <w:numId w:val="16"/>
        </w:numPr>
        <w:rPr/>
      </w:pPr>
      <w:r>
        <w:rPr/>
        <w:t>Enron Global Contract 96019331.  That certain Enfolio Master Firm Purchase/Sale Agreement dated February 1, 1998 between Petrofina Gas Pipeline Company and Houston Pipe Line Company.</w:t>
      </w:r>
    </w:p>
    <w:p>
      <w:pPr>
        <w:pStyle w:val="BodyTextIndent"/>
        <w:ind w:start="0" w:end="0"/>
        <w:rPr/>
      </w:pPr>
      <w:r>
        <w:rPr/>
      </w:r>
    </w:p>
    <w:p>
      <w:pPr>
        <w:pStyle w:val="BodyTextIndent"/>
        <w:numPr>
          <w:ilvl w:val="0"/>
          <w:numId w:val="16"/>
        </w:numPr>
        <w:rPr/>
      </w:pPr>
      <w:r>
        <w:rPr/>
        <w:t>Enron Global Contract 96002879.  That certain Enfolio Master Firm Purchase/Sale Agreement dated April 1, 1999 between Unit Gas Transmission Company and Enron North America Corp. (assignee of Enron Capital &amp; Trade Resources Corp.) and applicable Transaction Agreements.</w:t>
      </w:r>
    </w:p>
    <w:p>
      <w:pPr>
        <w:pStyle w:val="BodyTextIndent"/>
        <w:ind w:start="0" w:end="0"/>
        <w:rPr/>
      </w:pPr>
      <w:r>
        <w:rPr/>
      </w:r>
    </w:p>
    <w:p>
      <w:pPr>
        <w:pStyle w:val="BodyTextIndent"/>
        <w:numPr>
          <w:ilvl w:val="0"/>
          <w:numId w:val="16"/>
        </w:numPr>
        <w:rPr/>
      </w:pPr>
      <w:r>
        <w:rPr/>
        <w:t>Enron Global Contract 96004582.  That certain Enfolio Master Firm Purchase/Sale Agreement Enfolio Master Firm Purchase/Sale Agreement For Large Commercial and Industrial Consumers dated May 1, 1995 between Reliant Energy Entex (formerly Entex, a division of NorAm Energy Corp.), and Enron North America Corp. (assignee of HPL Resources Company) and applicable Transaction Agreements.</w:t>
      </w:r>
    </w:p>
    <w:p>
      <w:pPr>
        <w:pStyle w:val="BodyTextIndent"/>
        <w:ind w:hanging="540" w:end="0"/>
        <w:rPr>
          <w:b/>
        </w:rPr>
      </w:pPr>
      <w:r>
        <w:rPr>
          <w:b/>
        </w:rPr>
      </w:r>
    </w:p>
    <w:p>
      <w:pPr>
        <w:pStyle w:val="BodyTextIndent"/>
        <w:numPr>
          <w:ilvl w:val="0"/>
          <w:numId w:val="16"/>
        </w:numPr>
        <w:rPr/>
      </w:pPr>
      <w:r>
        <w:rPr/>
        <w:t>Enron Global Contract 96004597.  That certain Gas Sales Agreement dated January 1, 1993 between Reliant Energy Entex (formerly Entex, a division of NorAm Energy Corp.), and Enron North America Corp. (assignee of HPL Resources Company) and applicable Transaction Agreements as amended by Amendments dated December 5, 1996.</w:t>
      </w:r>
    </w:p>
    <w:p>
      <w:pPr>
        <w:pStyle w:val="BodyTextIndent"/>
        <w:ind w:hanging="540" w:end="0"/>
        <w:rPr>
          <w:b/>
        </w:rPr>
      </w:pPr>
      <w:r>
        <w:rPr>
          <w:b/>
        </w:rPr>
      </w:r>
    </w:p>
    <w:p>
      <w:pPr>
        <w:pStyle w:val="BodyTextIndent"/>
        <w:numPr>
          <w:ilvl w:val="0"/>
          <w:numId w:val="16"/>
        </w:numPr>
        <w:rPr/>
      </w:pPr>
      <w:r>
        <w:rPr/>
        <w:t>Enron Global Contract 96019120.  That certain Enfolio Master Firm Purchase/Sale Agreement for General Service Customers Houston, East Texas and Gulf Coast Divisions dated April 1, 1999 between Reliant Energy Entex (formerly Entex, a division of NorAm Energy Corp.), and Houston Pipe Line Company (assignee of HPL Resources Company) and applicable Transaction Agreements.</w:t>
      </w:r>
    </w:p>
    <w:p>
      <w:pPr>
        <w:pStyle w:val="BodyTextIndent"/>
        <w:ind w:start="0" w:end="0"/>
        <w:rPr/>
      </w:pPr>
      <w:r>
        <w:rPr/>
      </w:r>
    </w:p>
    <w:p>
      <w:pPr>
        <w:pStyle w:val="BodyTextIndent"/>
        <w:numPr>
          <w:ilvl w:val="0"/>
          <w:numId w:val="16"/>
        </w:numPr>
        <w:rPr/>
      </w:pPr>
      <w:r>
        <w:rPr/>
        <w:t>Enron Global Contract 96015679.  That certain Enfolio Master Firm Purchase/Sale Agreement dated September 1, 1996 between Reliant Energy HL&amp;P (formerly Houston Lighting &amp; Power Company) and Houston Pipe Line Company (assignee of HPL Resources Company) and applicable Transaction Agreements.</w:t>
      </w:r>
    </w:p>
    <w:p>
      <w:pPr>
        <w:pStyle w:val="BodyTextIndent"/>
        <w:ind w:start="0" w:end="0"/>
        <w:rPr/>
      </w:pPr>
      <w:r>
        <w:rPr/>
      </w:r>
    </w:p>
    <w:p>
      <w:pPr>
        <w:pStyle w:val="BodyTextIndent"/>
        <w:numPr>
          <w:ilvl w:val="0"/>
          <w:numId w:val="16"/>
        </w:numPr>
        <w:rPr/>
      </w:pPr>
      <w:r>
        <w:rPr/>
        <w:t xml:space="preserve">Enron Global Contract 96040645.  That certain Enfolio Firm Confirmation-Enfolio Firm General Terms and Conditions dated November 30, 2000 between Reliant Energy Services, Inc. and Houston Pipe Line Company. </w:t>
      </w:r>
    </w:p>
    <w:p>
      <w:pPr>
        <w:pStyle w:val="BodyTextIndent"/>
        <w:ind w:hanging="540" w:end="0"/>
        <w:rPr>
          <w:b/>
        </w:rPr>
      </w:pPr>
      <w:r>
        <w:rPr>
          <w:b/>
        </w:rPr>
      </w:r>
    </w:p>
    <w:p>
      <w:pPr>
        <w:pStyle w:val="BodyTextIndent"/>
        <w:numPr>
          <w:ilvl w:val="0"/>
          <w:numId w:val="16"/>
        </w:numPr>
        <w:rPr/>
      </w:pPr>
      <w:r>
        <w:rPr/>
        <w:t>Enron Global Contract 96001353.  That certain Gas Sales Contract dated July 26, 1979 between Schenectady International, Inc. (formerly Schenectady Chemicals, Inc.) and Houston Pipe Line Company (assignee of Houston Natural Gas Corporation), as amended by Amendments dated July 18, 1984, January 1, 1987, and November 1, 1992.</w:t>
      </w:r>
    </w:p>
    <w:p>
      <w:pPr>
        <w:pStyle w:val="BodyTextIndent"/>
        <w:ind w:hanging="540" w:end="0"/>
        <w:rPr>
          <w:b/>
        </w:rPr>
      </w:pPr>
      <w:r>
        <w:rPr>
          <w:b/>
        </w:rPr>
      </w:r>
    </w:p>
    <w:p>
      <w:pPr>
        <w:pStyle w:val="BodyTextIndent"/>
        <w:numPr>
          <w:ilvl w:val="0"/>
          <w:numId w:val="16"/>
        </w:numPr>
        <w:rPr/>
      </w:pPr>
      <w:r>
        <w:rPr/>
        <w:t>Enron Global Contract 96038519.  That certain Enfolio Master Firm Sales Agreement dated September 1, 1999 between SDS Petroleum Products, Inc. and Enron North America Corp.</w:t>
      </w:r>
    </w:p>
    <w:p>
      <w:pPr>
        <w:pStyle w:val="BodyTextIndent"/>
        <w:ind w:hanging="540" w:end="0"/>
        <w:rPr>
          <w:b/>
        </w:rPr>
      </w:pPr>
      <w:r>
        <w:rPr>
          <w:b/>
        </w:rPr>
      </w:r>
    </w:p>
    <w:p>
      <w:pPr>
        <w:pStyle w:val="BodyTextIndent"/>
        <w:numPr>
          <w:ilvl w:val="0"/>
          <w:numId w:val="16"/>
        </w:numPr>
        <w:rPr/>
      </w:pPr>
      <w:r>
        <w:rPr/>
        <w:t>Enron Global Contract 96019720.  That certain Enfolio Master Firm Purchase/Sale Agreement dated July 1, 1998 between Shell Oil Company and Houston Pipe Line Company.</w:t>
      </w:r>
    </w:p>
    <w:p>
      <w:pPr>
        <w:pStyle w:val="BodyTextIndent"/>
        <w:ind w:hanging="540" w:end="0"/>
        <w:rPr>
          <w:b/>
        </w:rPr>
      </w:pPr>
      <w:r>
        <w:rPr>
          <w:b/>
        </w:rPr>
      </w:r>
    </w:p>
    <w:p>
      <w:pPr>
        <w:pStyle w:val="BodyTextIndent"/>
        <w:numPr>
          <w:ilvl w:val="0"/>
          <w:numId w:val="16"/>
        </w:numPr>
        <w:rPr/>
      </w:pPr>
      <w:r>
        <w:rPr/>
        <w:t>Enron Global Contract 96040893.  That certain Enfolio Firm Confirmation-Enfolio Firm General Terms and Conditions dated June 1, 2000 between Shoreham Energy Services Company and Houston Pipe Line Company.</w:t>
      </w:r>
    </w:p>
    <w:p>
      <w:pPr>
        <w:pStyle w:val="BodyTextIndent"/>
        <w:ind w:start="0" w:end="0"/>
        <w:rPr/>
      </w:pPr>
      <w:r>
        <w:rPr/>
      </w:r>
    </w:p>
    <w:p>
      <w:pPr>
        <w:pStyle w:val="BodyTextIndent"/>
        <w:numPr>
          <w:ilvl w:val="0"/>
          <w:numId w:val="16"/>
        </w:numPr>
        <w:rPr/>
      </w:pPr>
      <w:r>
        <w:rPr/>
        <w:t>Enron Global Contract 96001291.  That certain Gas Sales Contract dated July 17, 1990 between Solvay Polymers, Inc. (formerly Soltex Polymer Corporation) and Houston Pipe Line Company, (assignee of Natural Gas Marketing &amp; Storage Company) as amended by Amendments dated July 1, 1993, November 1, 1993, December 1, 1995, and November 1, 1996.</w:t>
      </w:r>
    </w:p>
    <w:p>
      <w:pPr>
        <w:pStyle w:val="BodyTextIndent"/>
        <w:ind w:start="0" w:end="0"/>
        <w:rPr/>
      </w:pPr>
      <w:r>
        <w:rPr/>
      </w:r>
    </w:p>
    <w:p>
      <w:pPr>
        <w:pStyle w:val="BodyTextIndent"/>
        <w:numPr>
          <w:ilvl w:val="0"/>
          <w:numId w:val="16"/>
        </w:numPr>
        <w:rPr/>
      </w:pPr>
      <w:r>
        <w:rPr/>
        <w:t>Enron Global Contract 96033078.  That certain Enfolio Firm Confirmation-Enfolio Firm General Terms and Conditions dated February 1, 2000 between South Hampton Refining Co. and Houston Pipe Line Company.</w:t>
      </w:r>
    </w:p>
    <w:p>
      <w:pPr>
        <w:pStyle w:val="BodyTextIndent"/>
        <w:ind w:hanging="540" w:end="0"/>
        <w:rPr>
          <w:b/>
        </w:rPr>
      </w:pPr>
      <w:r>
        <w:rPr>
          <w:b/>
        </w:rPr>
      </w:r>
    </w:p>
    <w:p>
      <w:pPr>
        <w:pStyle w:val="BodyTextIndent"/>
        <w:numPr>
          <w:ilvl w:val="0"/>
          <w:numId w:val="16"/>
        </w:numPr>
        <w:rPr/>
      </w:pPr>
      <w:r>
        <w:rPr/>
        <w:t>Enron Global Contract 96041099.  That certain Enfolio Firm Confirmation-Enfolio Firm General Terms and Conditions dated November 1, 2000 between Southern Company Energy Marketing, L.P. and Houston Pipe Line Company.</w:t>
      </w:r>
    </w:p>
    <w:p>
      <w:pPr>
        <w:pStyle w:val="BodyTextIndent"/>
        <w:ind w:hanging="540" w:end="0"/>
        <w:rPr>
          <w:b/>
        </w:rPr>
      </w:pPr>
      <w:r>
        <w:rPr>
          <w:b/>
        </w:rPr>
      </w:r>
    </w:p>
    <w:p>
      <w:pPr>
        <w:pStyle w:val="BodyTextIndent"/>
        <w:numPr>
          <w:ilvl w:val="0"/>
          <w:numId w:val="16"/>
        </w:numPr>
        <w:rPr/>
      </w:pPr>
      <w:r>
        <w:rPr/>
        <w:t>Enron Global Contract 96016887.  That certain Natural Gas Sales Agreement dated June 30, 1998 between Southern Union Company and Enron Capital &amp; Trade Resources Corp.</w:t>
      </w:r>
    </w:p>
    <w:p>
      <w:pPr>
        <w:pStyle w:val="BodyTextIndent"/>
        <w:ind w:hanging="540" w:end="0"/>
        <w:rPr>
          <w:b/>
        </w:rPr>
      </w:pPr>
      <w:r>
        <w:rPr>
          <w:b/>
        </w:rPr>
      </w:r>
    </w:p>
    <w:p>
      <w:pPr>
        <w:pStyle w:val="BodyTextIndent"/>
        <w:numPr>
          <w:ilvl w:val="0"/>
          <w:numId w:val="16"/>
        </w:numPr>
        <w:rPr/>
      </w:pPr>
      <w:r>
        <w:rPr/>
        <w:t>Enron Global Contract 96016888.  That certain Natural Gas Sales Agreement dated June 1, 1998 between Southern Union Company and Enron Capital &amp; Trade Resources Corp.</w:t>
      </w:r>
    </w:p>
    <w:p>
      <w:pPr>
        <w:pStyle w:val="BodyTextIndent"/>
        <w:ind w:start="0" w:end="0"/>
        <w:rPr/>
      </w:pPr>
      <w:r>
        <w:rPr/>
      </w:r>
    </w:p>
    <w:p>
      <w:pPr>
        <w:pStyle w:val="BodyTextIndent"/>
        <w:numPr>
          <w:ilvl w:val="0"/>
          <w:numId w:val="16"/>
        </w:numPr>
        <w:rPr/>
      </w:pPr>
      <w:r>
        <w:rPr/>
        <w:t>Enron Global Contract 96000912.  That certain Gas Sales Contract dated September 14, 1988 between Sterling Chemicals, Inc. and Houston Pipe Line Company as amended by Amendments dated October 1, 1992, January 1, 1994, and July 1, 1996.</w:t>
      </w:r>
    </w:p>
    <w:p>
      <w:pPr>
        <w:pStyle w:val="BodyTextIndent"/>
        <w:rPr/>
      </w:pPr>
      <w:r>
        <w:rPr/>
      </w:r>
    </w:p>
    <w:p>
      <w:pPr>
        <w:pStyle w:val="BodyTextIndent"/>
        <w:numPr>
          <w:ilvl w:val="0"/>
          <w:numId w:val="16"/>
        </w:numPr>
        <w:rPr/>
      </w:pPr>
      <w:r>
        <w:rPr/>
        <w:t>Enron Global Contract 96001360.  That certain Master Firm Sales Agreement dated February 1, 1993 between Temple-Inland Forest Products Corporation and Houston Pipe Line Company (assignee of Enron Industrial Natural Gas Company).</w:t>
      </w:r>
    </w:p>
    <w:p>
      <w:pPr>
        <w:pStyle w:val="BodyTextIndent"/>
        <w:rPr/>
      </w:pPr>
      <w:r>
        <w:rPr/>
      </w:r>
    </w:p>
    <w:p>
      <w:pPr>
        <w:pStyle w:val="BodyTextIndent"/>
        <w:numPr>
          <w:ilvl w:val="0"/>
          <w:numId w:val="16"/>
        </w:numPr>
        <w:rPr/>
      </w:pPr>
      <w:r>
        <w:rPr/>
        <w:t>Enron Global Contract 96022957.  That certain Gas Sales Contract dated June 30, 1998 between Titan Tire Corporation of Texas and Houston Pipe Line Company (assignee of HPL Resources Company).</w:t>
      </w:r>
    </w:p>
    <w:p>
      <w:pPr>
        <w:pStyle w:val="BodyTextIndent"/>
        <w:ind w:hanging="540" w:end="0"/>
        <w:rPr>
          <w:b/>
        </w:rPr>
      </w:pPr>
      <w:r>
        <w:rPr>
          <w:b/>
        </w:rPr>
      </w:r>
    </w:p>
    <w:p>
      <w:pPr>
        <w:pStyle w:val="BodyTextIndent"/>
        <w:numPr>
          <w:ilvl w:val="0"/>
          <w:numId w:val="16"/>
        </w:numPr>
        <w:rPr/>
      </w:pPr>
      <w:r>
        <w:rPr/>
        <w:t>Enron Global Contract 96001400.  That certain Gas Purchase and Sales Contract dated January 1, 1993 between TXU Fuel Company (formerly Texas Utilities Fuel Company) and Enron Capital &amp; Trade Resources Corp. (assignee of Enron Power Services, Inc.), as amended by Amendment dated January 1, 1996.</w:t>
      </w:r>
    </w:p>
    <w:p>
      <w:pPr>
        <w:pStyle w:val="BodyTextIndent"/>
        <w:ind w:hanging="540" w:end="0"/>
        <w:rPr>
          <w:b/>
        </w:rPr>
      </w:pPr>
      <w:r>
        <w:rPr>
          <w:b/>
        </w:rPr>
      </w:r>
    </w:p>
    <w:p>
      <w:pPr>
        <w:pStyle w:val="BodyTextIndent"/>
        <w:numPr>
          <w:ilvl w:val="0"/>
          <w:numId w:val="16"/>
        </w:numPr>
        <w:rPr/>
      </w:pPr>
      <w:r>
        <w:rPr/>
        <w:t>Enron Global Contract 96003496.  That certain Gas Purchase and Sales Contract dated October 1, 1991 between TXU Fuel Company (formerly Texas Utilities Fuel Company) and Enron Capital &amp; Trade Resources Corp. (assignee of Natural Gas Marketing &amp; Storage Company) as amended by Amendments dated October 1, 1993 , October 1, 1994, October 1, 1995, January 1, 1996, and January 1, 1997.</w:t>
      </w:r>
    </w:p>
    <w:p>
      <w:pPr>
        <w:pStyle w:val="BodyTextIndent"/>
        <w:ind w:hanging="540" w:end="0"/>
        <w:rPr>
          <w:b/>
        </w:rPr>
      </w:pPr>
      <w:r>
        <w:rPr>
          <w:b/>
        </w:rPr>
      </w:r>
    </w:p>
    <w:p>
      <w:pPr>
        <w:pStyle w:val="BodyTextIndent"/>
        <w:numPr>
          <w:ilvl w:val="0"/>
          <w:numId w:val="16"/>
        </w:numPr>
        <w:rPr/>
      </w:pPr>
      <w:r>
        <w:rPr/>
        <w:t>Enron Global Contract 96002201.  That certain Gas Sales Contract dated January 1, 1990 between Union Carbide Corporation (assignee of Union Carbide Chemicals and Plastics Company Inc.) and Enron Capital &amp; Trade Resources Corp. (assignee of Enron Industrial Natural Gas Company) as amended by Amendments dated January 1, 1995 and  November 1, 1997.</w:t>
      </w:r>
    </w:p>
    <w:p>
      <w:pPr>
        <w:pStyle w:val="BodyTextIndent"/>
        <w:ind w:hanging="540" w:end="0"/>
        <w:rPr>
          <w:b/>
        </w:rPr>
      </w:pPr>
      <w:r>
        <w:rPr>
          <w:b/>
        </w:rPr>
      </w:r>
    </w:p>
    <w:p>
      <w:pPr>
        <w:pStyle w:val="BodyTextIndent"/>
        <w:numPr>
          <w:ilvl w:val="0"/>
          <w:numId w:val="16"/>
        </w:numPr>
        <w:rPr/>
      </w:pPr>
      <w:r>
        <w:rPr/>
        <w:t>Enron Global Contract 96023591.  Those certain Enfolio Firm Confirmations—Enfolio Firm General Terms &amp; Conditions Govern dated October 27, 2000 between Valero Marketing and Supply Company and Houston Pipe Line Company.</w:t>
      </w:r>
    </w:p>
    <w:p>
      <w:pPr>
        <w:pStyle w:val="Normal"/>
        <w:ind w:hanging="720" w:start="720" w:end="0"/>
        <w:jc w:val="both"/>
        <w:rPr/>
      </w:pPr>
      <w:r>
        <w:rPr/>
      </w:r>
    </w:p>
    <w:p>
      <w:pPr>
        <w:pStyle w:val="Normal"/>
        <w:ind w:hanging="720" w:start="720" w:end="0"/>
        <w:jc w:val="both"/>
        <w:rPr/>
      </w:pPr>
      <w:r>
        <w:rPr/>
        <w:t>(vi)</w:t>
        <w:tab/>
        <w:t>Gas Processing, Treatment, Transportation, Liquid Sales and Gathering Agreements:</w:t>
      </w:r>
    </w:p>
    <w:p>
      <w:pPr>
        <w:pStyle w:val="Normal"/>
        <w:ind w:hanging="720" w:start="720" w:end="0"/>
        <w:jc w:val="both"/>
        <w:rPr/>
      </w:pPr>
      <w:r>
        <w:rPr/>
      </w:r>
    </w:p>
    <w:p>
      <w:pPr>
        <w:pStyle w:val="Normal"/>
        <w:tabs>
          <w:tab w:val="clear" w:pos="720"/>
          <w:tab w:val="left" w:pos="1260" w:leader="none"/>
        </w:tabs>
        <w:ind w:hanging="540" w:start="1260" w:end="0"/>
        <w:jc w:val="both"/>
        <w:rPr/>
      </w:pPr>
      <w:r>
        <w:rPr/>
        <w:t>1.</w:t>
        <w:tab/>
        <w:t>Gas Processing Agreement dated May 20, 1998 by and between HPL and HPL Resources Company and Exxon Company, U.S.A.</w:t>
      </w:r>
    </w:p>
    <w:p>
      <w:pPr>
        <w:pStyle w:val="Normal"/>
        <w:tabs>
          <w:tab w:val="clear" w:pos="720"/>
          <w:tab w:val="left" w:pos="1260" w:leader="none"/>
        </w:tabs>
        <w:ind w:hanging="540" w:start="1260" w:end="0"/>
        <w:jc w:val="both"/>
        <w:rPr/>
      </w:pPr>
      <w:r>
        <w:rPr/>
        <w:tab/>
        <w:t>(Big Cowboy processing agreement)</w:t>
      </w:r>
    </w:p>
    <w:p>
      <w:pPr>
        <w:pStyle w:val="Normal"/>
        <w:jc w:val="both"/>
        <w:rPr/>
      </w:pPr>
      <w:r>
        <w:rPr/>
      </w:r>
    </w:p>
    <w:p>
      <w:pPr>
        <w:pStyle w:val="Normal"/>
        <w:tabs>
          <w:tab w:val="clear" w:pos="720"/>
          <w:tab w:val="left" w:pos="1260" w:leader="none"/>
        </w:tabs>
        <w:ind w:hanging="540" w:start="1260" w:end="0"/>
        <w:jc w:val="both"/>
        <w:rPr/>
      </w:pPr>
      <w:r>
        <w:rPr/>
        <w:t>2.</w:t>
        <w:tab/>
        <w:t>Gas Processing Agreement dated October 1, 1999 by and between HPL and Exxon Company, U.S.A.</w:t>
      </w:r>
    </w:p>
    <w:p>
      <w:pPr>
        <w:pStyle w:val="Normal"/>
        <w:tabs>
          <w:tab w:val="clear" w:pos="720"/>
          <w:tab w:val="left" w:pos="1260" w:leader="none"/>
        </w:tabs>
        <w:ind w:hanging="540" w:start="1260" w:end="0"/>
        <w:jc w:val="both"/>
        <w:rPr/>
      </w:pPr>
      <w:r>
        <w:rPr/>
        <w:tab/>
        <w:t>(Three Rivers processing agreement)</w:t>
      </w:r>
    </w:p>
    <w:p>
      <w:pPr>
        <w:pStyle w:val="Normal"/>
        <w:jc w:val="both"/>
        <w:rPr/>
      </w:pPr>
      <w:r>
        <w:rPr/>
      </w:r>
    </w:p>
    <w:p>
      <w:pPr>
        <w:pStyle w:val="Normal"/>
        <w:tabs>
          <w:tab w:val="clear" w:pos="720"/>
          <w:tab w:val="left" w:pos="1260" w:leader="none"/>
        </w:tabs>
        <w:ind w:hanging="540" w:start="1260" w:end="0"/>
        <w:jc w:val="both"/>
        <w:rPr/>
      </w:pPr>
      <w:r>
        <w:rPr/>
        <w:t>3.</w:t>
        <w:tab/>
        <w:t>Gulf Plains Gas Plant Gas Processing Agreement between HPL Resources Company (Owner) and Union Pacific Resources Company (Processor) Effective June 1, 1996 (as amended)</w:t>
      </w:r>
    </w:p>
    <w:p>
      <w:pPr>
        <w:pStyle w:val="Normal"/>
        <w:ind w:firstLine="720" w:start="540" w:end="0"/>
        <w:jc w:val="both"/>
        <w:rPr/>
      </w:pPr>
      <w:r>
        <w:rPr/>
        <w:t>(Duke Gulf Plains processing)</w:t>
      </w:r>
    </w:p>
    <w:p>
      <w:pPr>
        <w:pStyle w:val="Normal"/>
        <w:jc w:val="both"/>
        <w:rPr/>
      </w:pPr>
      <w:r>
        <w:rPr/>
      </w:r>
    </w:p>
    <w:p>
      <w:pPr>
        <w:pStyle w:val="Normal"/>
        <w:tabs>
          <w:tab w:val="clear" w:pos="720"/>
          <w:tab w:val="left" w:pos="1260" w:leader="none"/>
        </w:tabs>
        <w:ind w:hanging="540" w:start="1260" w:end="0"/>
        <w:jc w:val="both"/>
        <w:rPr/>
      </w:pPr>
      <w:r>
        <w:rPr/>
        <w:t>4.</w:t>
        <w:tab/>
        <w:t>Gas Purchase and Processing Agreement between Louis Dreyfus Natural Gas Corp. (Producer) and HPL Resources Company (Processor) dated December 17, 1993 (as amended)</w:t>
      </w:r>
    </w:p>
    <w:p>
      <w:pPr>
        <w:pStyle w:val="Normal"/>
        <w:tabs>
          <w:tab w:val="clear" w:pos="720"/>
          <w:tab w:val="left" w:pos="1260" w:leader="none"/>
        </w:tabs>
        <w:ind w:hanging="540" w:start="1260" w:end="0"/>
        <w:jc w:val="both"/>
        <w:rPr/>
      </w:pPr>
      <w:r>
        <w:rPr/>
        <w:tab/>
        <w:t>(low pressure gas behind McMullen)</w:t>
      </w:r>
    </w:p>
    <w:p>
      <w:pPr>
        <w:pStyle w:val="Normal"/>
        <w:jc w:val="both"/>
        <w:rPr/>
      </w:pPr>
      <w:r>
        <w:rPr/>
      </w:r>
    </w:p>
    <w:p>
      <w:pPr>
        <w:pStyle w:val="Normal"/>
        <w:tabs>
          <w:tab w:val="clear" w:pos="720"/>
          <w:tab w:val="left" w:pos="1260" w:leader="none"/>
        </w:tabs>
        <w:ind w:hanging="540" w:start="1260" w:end="0"/>
        <w:jc w:val="both"/>
        <w:rPr/>
      </w:pPr>
      <w:r>
        <w:rPr/>
        <w:t>5.</w:t>
        <w:tab/>
        <w:t>Gas Processing Agreement dated Effective as of June 1, 1997 between HPL (Processor) and Tejones Operating Company (Customer)</w:t>
      </w:r>
    </w:p>
    <w:p>
      <w:pPr>
        <w:pStyle w:val="Normal"/>
        <w:tabs>
          <w:tab w:val="clear" w:pos="720"/>
          <w:tab w:val="left" w:pos="1260" w:leader="none"/>
        </w:tabs>
        <w:ind w:hanging="540" w:start="1260" w:end="0"/>
        <w:jc w:val="both"/>
        <w:rPr/>
      </w:pPr>
      <w:r>
        <w:rPr/>
      </w:r>
    </w:p>
    <w:p>
      <w:pPr>
        <w:pStyle w:val="Normal"/>
        <w:tabs>
          <w:tab w:val="clear" w:pos="720"/>
          <w:tab w:val="left" w:pos="1260" w:leader="none"/>
        </w:tabs>
        <w:ind w:hanging="540" w:start="1260" w:end="0"/>
        <w:jc w:val="both"/>
        <w:rPr/>
      </w:pPr>
      <w:r>
        <w:rPr/>
        <w:t>6.</w:t>
        <w:tab/>
        <w:t>Gas Processing Agreement between HPL and Swift Energy Company and Enron Gas Processing Company dated June 1, 1989 (as amended) (H50.5-PR-19-0001, high pressure gas)</w:t>
      </w:r>
    </w:p>
    <w:p>
      <w:pPr>
        <w:pStyle w:val="Normal"/>
        <w:jc w:val="both"/>
        <w:rPr/>
      </w:pPr>
      <w:r>
        <w:rPr/>
      </w:r>
    </w:p>
    <w:p>
      <w:pPr>
        <w:pStyle w:val="Normal"/>
        <w:tabs>
          <w:tab w:val="clear" w:pos="720"/>
          <w:tab w:val="left" w:pos="1260" w:leader="none"/>
        </w:tabs>
        <w:ind w:hanging="540" w:start="1260" w:end="0"/>
        <w:jc w:val="both"/>
        <w:rPr/>
      </w:pPr>
      <w:r>
        <w:rPr/>
        <w:t>7.</w:t>
        <w:tab/>
        <w:t>Gas Gathering, Compression and Processing Agreement between Swift Energy Company “Producer” and [Enron Gas Processing Company] “Processor” dated June 1, 1989 (as amended)  (H50-PR-19-0001, low pressure gas behind McMullen)</w:t>
      </w:r>
    </w:p>
    <w:p>
      <w:pPr>
        <w:pStyle w:val="Normal"/>
        <w:jc w:val="both"/>
        <w:rPr/>
      </w:pPr>
      <w:r>
        <w:rPr/>
      </w:r>
    </w:p>
    <w:p>
      <w:pPr>
        <w:pStyle w:val="Normal"/>
        <w:tabs>
          <w:tab w:val="clear" w:pos="720"/>
          <w:tab w:val="left" w:pos="1260" w:leader="none"/>
        </w:tabs>
        <w:ind w:hanging="540" w:start="1260" w:end="0"/>
        <w:jc w:val="both"/>
        <w:rPr/>
      </w:pPr>
      <w:r>
        <w:rPr/>
        <w:t>8.</w:t>
        <w:tab/>
        <w:t>Gas Transportation Agreement Between Teco Pipeline Company and HPL as Shipper dated August 19, 1994.</w:t>
      </w:r>
    </w:p>
    <w:p>
      <w:pPr>
        <w:pStyle w:val="Normal"/>
        <w:tabs>
          <w:tab w:val="clear" w:pos="720"/>
          <w:tab w:val="left" w:pos="1080" w:leader="none"/>
        </w:tabs>
        <w:jc w:val="both"/>
        <w:rPr/>
      </w:pPr>
      <w:r>
        <w:rPr/>
      </w:r>
    </w:p>
    <w:p>
      <w:pPr>
        <w:pStyle w:val="Normal"/>
        <w:tabs>
          <w:tab w:val="clear" w:pos="720"/>
          <w:tab w:val="left" w:pos="1260" w:leader="none"/>
        </w:tabs>
        <w:ind w:hanging="540" w:start="1260" w:end="0"/>
        <w:jc w:val="both"/>
        <w:rPr/>
      </w:pPr>
      <w:r>
        <w:rPr/>
        <w:t>9.</w:t>
        <w:tab/>
        <w:t>Gas Transportation Agreement Between Gulf Energy Pipeline LP and HPL dated August 20, 1992.</w:t>
      </w:r>
    </w:p>
    <w:p>
      <w:pPr>
        <w:pStyle w:val="Normal"/>
        <w:tabs>
          <w:tab w:val="clear" w:pos="720"/>
          <w:tab w:val="left" w:pos="1260" w:leader="none"/>
        </w:tabs>
        <w:ind w:hanging="540" w:start="1260" w:end="0"/>
        <w:jc w:val="both"/>
        <w:rPr/>
      </w:pPr>
      <w:r>
        <w:rPr/>
      </w:r>
    </w:p>
    <w:p>
      <w:pPr>
        <w:pStyle w:val="Normal"/>
        <w:tabs>
          <w:tab w:val="clear" w:pos="720"/>
          <w:tab w:val="left" w:pos="1260" w:leader="none"/>
        </w:tabs>
        <w:ind w:hanging="540" w:start="1260" w:end="0"/>
        <w:jc w:val="both"/>
        <w:rPr/>
      </w:pPr>
      <w:r>
        <w:rPr/>
        <w:t>10.</w:t>
        <w:tab/>
        <w:t>Project Agreement between Exxon Company USA, Humble Gas Pipeline Company, HPL and HPL Resources Company dated October 4, 1996  [Exxon]</w:t>
      </w:r>
    </w:p>
    <w:p>
      <w:pPr>
        <w:pStyle w:val="Normal"/>
        <w:rPr/>
      </w:pPr>
      <w:r>
        <w:rPr/>
      </w:r>
    </w:p>
    <w:p>
      <w:pPr>
        <w:pStyle w:val="Normal"/>
        <w:tabs>
          <w:tab w:val="clear" w:pos="720"/>
          <w:tab w:val="left" w:pos="1260" w:leader="none"/>
        </w:tabs>
        <w:ind w:hanging="540" w:start="1260" w:end="0"/>
        <w:jc w:val="both"/>
        <w:rPr/>
      </w:pPr>
      <w:r>
        <w:rPr/>
        <w:t>11.</w:t>
        <w:tab/>
        <w:t>Capacity Lease and Operating Agreement between HPL and Humble Gas Pipeline Company dated October 4, 1996  [Exxon]</w:t>
      </w:r>
    </w:p>
    <w:p>
      <w:pPr>
        <w:pStyle w:val="Normal"/>
        <w:rPr/>
      </w:pPr>
      <w:r>
        <w:rPr/>
      </w:r>
    </w:p>
    <w:p>
      <w:pPr>
        <w:pStyle w:val="Normal"/>
        <w:tabs>
          <w:tab w:val="clear" w:pos="720"/>
          <w:tab w:val="left" w:pos="1260" w:leader="none"/>
        </w:tabs>
        <w:ind w:hanging="540" w:start="1260" w:end="0"/>
        <w:jc w:val="both"/>
        <w:rPr/>
      </w:pPr>
      <w:r>
        <w:rPr/>
        <w:t>12.</w:t>
        <w:tab/>
        <w:t>Gas Purchase Agreement (Reserves Committed/Index Pricing) between HPL Resources Company and Suemaur Exploration, Inc dated April 1, 1996  [Exxon]</w:t>
      </w:r>
    </w:p>
    <w:p>
      <w:pPr>
        <w:pStyle w:val="BodyTextIndent2"/>
        <w:ind w:start="0" w:end="0"/>
        <w:rPr/>
      </w:pPr>
      <w:r>
        <w:rPr/>
      </w:r>
    </w:p>
    <w:p>
      <w:pPr>
        <w:pStyle w:val="Normal"/>
        <w:tabs>
          <w:tab w:val="clear" w:pos="720"/>
          <w:tab w:val="left" w:pos="1260" w:leader="none"/>
        </w:tabs>
        <w:ind w:hanging="540" w:start="1260" w:end="0"/>
        <w:jc w:val="both"/>
        <w:rPr/>
      </w:pPr>
      <w:r>
        <w:rPr/>
        <w:t>13.</w:t>
        <w:tab/>
        <w:t>Agreement To Interconnect And Operate Natural Gas Pipeline Facilities between Humble Gas Pipeline Company HPL dated October 4, 1996  [Exxon]</w:t>
      </w:r>
    </w:p>
    <w:p>
      <w:pPr>
        <w:pStyle w:val="BodyTextIndent2"/>
        <w:ind w:start="0" w:end="0"/>
        <w:rPr/>
      </w:pPr>
      <w:r>
        <w:rPr/>
      </w:r>
    </w:p>
    <w:p>
      <w:pPr>
        <w:pStyle w:val="Normal"/>
        <w:tabs>
          <w:tab w:val="clear" w:pos="720"/>
          <w:tab w:val="left" w:pos="1260" w:leader="none"/>
        </w:tabs>
        <w:ind w:hanging="540" w:start="1260" w:end="0"/>
        <w:jc w:val="both"/>
        <w:rPr/>
      </w:pPr>
      <w:r>
        <w:rPr/>
        <w:t>14.</w:t>
        <w:tab/>
        <w:t>Interruptible Gas Transportation Agreement [Kelsey Receipt Point—311 Wet Gas] between Exxon Company, U.S.A., HPL dated October 4, 1996  [Exxon]</w:t>
      </w:r>
    </w:p>
    <w:p>
      <w:pPr>
        <w:pStyle w:val="BodyTextIndent2"/>
        <w:ind w:start="0" w:end="0"/>
        <w:rPr/>
      </w:pPr>
      <w:r>
        <w:rPr/>
      </w:r>
    </w:p>
    <w:p>
      <w:pPr>
        <w:pStyle w:val="Normal"/>
        <w:tabs>
          <w:tab w:val="clear" w:pos="720"/>
          <w:tab w:val="left" w:pos="1260" w:leader="none"/>
        </w:tabs>
        <w:ind w:hanging="540" w:start="1260" w:end="0"/>
        <w:jc w:val="both"/>
        <w:rPr/>
      </w:pPr>
      <w:r>
        <w:rPr/>
        <w:t>15.</w:t>
        <w:tab/>
        <w:t>Interruptible Gas Transportation Agreement [Kelsey Receipt Point—Intrastate Wet Gas] between Exxon Company, U.S.A. and HPL dated October 4, 1996  [Exxon]</w:t>
      </w:r>
    </w:p>
    <w:p>
      <w:pPr>
        <w:pStyle w:val="BodyTextIndent2"/>
        <w:ind w:start="0" w:end="0"/>
        <w:rPr/>
      </w:pPr>
      <w:r>
        <w:rPr/>
      </w:r>
    </w:p>
    <w:p>
      <w:pPr>
        <w:pStyle w:val="Normal"/>
        <w:tabs>
          <w:tab w:val="clear" w:pos="720"/>
          <w:tab w:val="left" w:pos="1260" w:leader="none"/>
        </w:tabs>
        <w:ind w:hanging="540" w:start="1260" w:end="0"/>
        <w:jc w:val="both"/>
        <w:rPr/>
      </w:pPr>
      <w:r>
        <w:rPr/>
        <w:t>16.</w:t>
        <w:tab/>
        <w:t>Interruptible Gas Transportation Agreement [Kelsey Receipt Point—Phase One Dry Wet Gas] between Exxon Company, U.S.A. and HPL dated October 4, 1996  [Exxon]</w:t>
      </w:r>
    </w:p>
    <w:p>
      <w:pPr>
        <w:pStyle w:val="BodyTextIndent2"/>
        <w:ind w:start="0" w:end="0"/>
        <w:rPr/>
      </w:pPr>
      <w:r>
        <w:rPr/>
      </w:r>
    </w:p>
    <w:p>
      <w:pPr>
        <w:pStyle w:val="Normal"/>
        <w:tabs>
          <w:tab w:val="clear" w:pos="720"/>
          <w:tab w:val="left" w:pos="1260" w:leader="none"/>
        </w:tabs>
        <w:ind w:hanging="540" w:start="1260" w:end="0"/>
        <w:jc w:val="both"/>
        <w:rPr/>
      </w:pPr>
      <w:r>
        <w:rPr/>
        <w:t>17.</w:t>
        <w:tab/>
        <w:t>CO2 Treatment Agreement between Hanover and HPL dated February 15, 1999, as amended by 1</w:t>
      </w:r>
      <w:r>
        <w:rPr>
          <w:vertAlign w:val="superscript"/>
        </w:rPr>
        <w:t>st</w:t>
      </w:r>
      <w:r>
        <w:rPr/>
        <w:t xml:space="preserve"> Amendment dated August, 1999  [S/W Speaks Treater]</w:t>
      </w:r>
    </w:p>
    <w:p>
      <w:pPr>
        <w:pStyle w:val="Normal"/>
        <w:rPr/>
      </w:pPr>
      <w:r>
        <w:rPr/>
      </w:r>
    </w:p>
    <w:p>
      <w:pPr>
        <w:pStyle w:val="Normal"/>
        <w:tabs>
          <w:tab w:val="clear" w:pos="720"/>
          <w:tab w:val="left" w:pos="1260" w:leader="none"/>
        </w:tabs>
        <w:ind w:hanging="540" w:start="1260" w:end="0"/>
        <w:jc w:val="both"/>
        <w:rPr/>
      </w:pPr>
      <w:r>
        <w:rPr/>
        <w:t>18.</w:t>
        <w:tab/>
        <w:t>CO2 Treatment Agreement between South-Tex Treaters, Inc. and HPL dated May 12, 1998, as amended by 1st Amendment dated May 1, 1999  [Thompsonville Treater]</w:t>
      </w:r>
    </w:p>
    <w:p>
      <w:pPr>
        <w:pStyle w:val="Normal"/>
        <w:jc w:val="both"/>
        <w:rPr/>
      </w:pPr>
      <w:r>
        <w:rPr/>
      </w:r>
    </w:p>
    <w:p>
      <w:pPr>
        <w:pStyle w:val="Header"/>
        <w:tabs>
          <w:tab w:val="clear" w:pos="4680"/>
          <w:tab w:val="clear" w:pos="9360"/>
        </w:tabs>
        <w:jc w:val="both"/>
        <w:rPr/>
      </w:pPr>
      <w:r>
        <w:rPr/>
        <w:t>(vii)</w:t>
        <w:tab/>
        <w:t>See attached Projected Capital Expenditures Schedule</w:t>
      </w:r>
    </w:p>
    <w:p>
      <w:pPr>
        <w:pStyle w:val="Header"/>
        <w:tabs>
          <w:tab w:val="clear" w:pos="4680"/>
          <w:tab w:val="clear" w:pos="9360"/>
        </w:tabs>
        <w:jc w:val="both"/>
        <w:rPr/>
      </w:pPr>
      <w:r>
        <w:rPr/>
      </w:r>
    </w:p>
    <w:p>
      <w:pPr>
        <w:pStyle w:val="Header"/>
        <w:tabs>
          <w:tab w:val="clear" w:pos="4680"/>
          <w:tab w:val="clear" w:pos="9360"/>
        </w:tabs>
        <w:jc w:val="both"/>
        <w:rPr/>
      </w:pPr>
      <w:r>
        <w:rPr/>
        <w:t>(viii)</w:t>
        <w:tab/>
        <w:t>None</w:t>
      </w:r>
    </w:p>
    <w:p>
      <w:pPr>
        <w:pStyle w:val="Header"/>
        <w:tabs>
          <w:tab w:val="clear" w:pos="4680"/>
          <w:tab w:val="clear" w:pos="9360"/>
        </w:tabs>
        <w:jc w:val="both"/>
        <w:rPr/>
      </w:pPr>
      <w:r>
        <w:rPr/>
      </w:r>
    </w:p>
    <w:p>
      <w:pPr>
        <w:pStyle w:val="Header"/>
        <w:tabs>
          <w:tab w:val="clear" w:pos="4680"/>
          <w:tab w:val="clear" w:pos="9360"/>
        </w:tabs>
        <w:jc w:val="both"/>
        <w:rPr/>
      </w:pPr>
      <w:r>
        <w:rPr/>
        <w:t>(ix)</w:t>
        <w:tab/>
        <w:t>All or substantially all of the Acquired Companies’ contracts contain indemnification provisions, most of which are mutual.</w:t>
      </w:r>
      <w:r>
        <w:br w:type="page"/>
      </w:r>
    </w:p>
    <w:p>
      <w:pPr>
        <w:pStyle w:val="Header"/>
        <w:tabs>
          <w:tab w:val="clear" w:pos="4680"/>
          <w:tab w:val="clear" w:pos="9360"/>
        </w:tabs>
        <w:jc w:val="both"/>
        <w:rPr/>
      </w:pPr>
      <w:r>
        <w:rPr/>
        <w:t>(x)</w:t>
        <w:tab/>
        <w:t>Newco Contracts</w:t>
      </w:r>
    </w:p>
    <w:p>
      <w:pPr>
        <w:pStyle w:val="Header"/>
        <w:tabs>
          <w:tab w:val="clear" w:pos="4680"/>
          <w:tab w:val="clear" w:pos="9360"/>
        </w:tabs>
        <w:jc w:val="both"/>
        <w:rPr/>
      </w:pPr>
      <w:r>
        <w:rPr/>
      </w:r>
    </w:p>
    <w:tbl>
      <w:tblPr>
        <w:tblW w:w="8856" w:type="dxa"/>
        <w:jc w:val="start"/>
        <w:tblInd w:w="0" w:type="dxa"/>
        <w:tblLayout w:type="fixed"/>
        <w:tblCellMar>
          <w:top w:w="0" w:type="dxa"/>
          <w:start w:w="108" w:type="dxa"/>
          <w:bottom w:w="0" w:type="dxa"/>
          <w:end w:w="108" w:type="dxa"/>
        </w:tblCellMar>
      </w:tblPr>
      <w:tblGrid>
        <w:gridCol w:w="3888"/>
        <w:gridCol w:w="4968"/>
      </w:tblGrid>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Global Contract No.</w:t>
            </w:r>
          </w:p>
          <w:p>
            <w:pPr>
              <w:pStyle w:val="Normal"/>
              <w:jc w:val="center"/>
              <w:rPr>
                <w:b/>
                <w:bCs/>
              </w:rPr>
            </w:pPr>
            <w:r>
              <w:rPr>
                <w:b/>
                <w:bCs/>
              </w:rPr>
            </w:r>
          </w:p>
        </w:tc>
        <w:tc>
          <w:tcPr>
            <w:tcW w:w="496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Counterparty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96012228</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City of Brazoria</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96007529</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D&amp;H Gas Company, Inc.</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96000706</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Empire Pipeline Corp.</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96031541</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Marketing Company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96003353</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Markham Gas Corp.</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96002113</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96002116</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96004582</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96004597</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96019120</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96016887</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96016888</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96037995</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Gas Company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96001400</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96003496</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jc w:val="center"/>
              <w:rPr/>
            </w:pPr>
            <w:r>
              <w:rPr/>
              <w:t>96002879</w:t>
            </w:r>
          </w:p>
        </w:tc>
        <w:tc>
          <w:tcPr>
            <w:tcW w:w="4968" w:type="dxa"/>
            <w:tcBorders>
              <w:top w:val="single" w:sz="4" w:space="0" w:color="000000"/>
              <w:start w:val="single" w:sz="4" w:space="0" w:color="000000"/>
              <w:bottom w:val="single" w:sz="4" w:space="0" w:color="000000"/>
              <w:end w:val="single" w:sz="4" w:space="0" w:color="000000"/>
            </w:tcBorders>
          </w:tcPr>
          <w:p>
            <w:pPr>
              <w:pStyle w:val="Normal"/>
              <w:jc w:val="both"/>
              <w:rPr/>
            </w:pPr>
            <w:r>
              <w:rPr/>
              <w:t>Unit Gas Transmission Company Inc.</w:t>
            </w:r>
          </w:p>
        </w:tc>
      </w:tr>
    </w:tbl>
    <w:p>
      <w:pPr>
        <w:pStyle w:val="Header"/>
        <w:tabs>
          <w:tab w:val="clear" w:pos="4680"/>
          <w:tab w:val="clear" w:pos="9360"/>
        </w:tabs>
        <w:jc w:val="both"/>
        <w:rPr/>
      </w:pPr>
      <w:r>
        <w:rPr/>
      </w:r>
    </w:p>
    <w:p>
      <w:pPr>
        <w:pStyle w:val="Header"/>
        <w:tabs>
          <w:tab w:val="clear" w:pos="4680"/>
          <w:tab w:val="clear" w:pos="9360"/>
        </w:tabs>
        <w:jc w:val="both"/>
        <w:rPr/>
      </w:pPr>
      <w:r>
        <w:rPr/>
        <w:t>(b)</w:t>
      </w:r>
    </w:p>
    <w:p>
      <w:pPr>
        <w:pStyle w:val="Header"/>
        <w:tabs>
          <w:tab w:val="clear" w:pos="4680"/>
          <w:tab w:val="clear" w:pos="9360"/>
        </w:tabs>
        <w:jc w:val="both"/>
        <w:rPr/>
      </w:pPr>
      <w:r>
        <w:rPr/>
      </w:r>
    </w:p>
    <w:p>
      <w:pPr>
        <w:pStyle w:val="Header"/>
        <w:tabs>
          <w:tab w:val="clear" w:pos="4680"/>
          <w:tab w:val="clear" w:pos="9360"/>
        </w:tabs>
        <w:jc w:val="both"/>
        <w:rPr/>
      </w:pPr>
      <w:r>
        <w:rPr/>
        <w:t>1.</w:t>
        <w:tab/>
        <w:t>ENA and Entex are currently reviewing the preliminary results of an audit conducted on behalf of ENA.  This audit was concluded on 7/17/00 and indicates that Entex may not have taken all volumes of gas required under the contract for the period from April of 1999 through March of 2000. This audit may result in (i) Entex’s taking and paying for greater volumes in the future under the current contract and/or (ii) compensation by Entex for deficient takes under the current contract.</w:t>
      </w:r>
    </w:p>
    <w:p>
      <w:pPr>
        <w:pStyle w:val="Header"/>
        <w:tabs>
          <w:tab w:val="clear" w:pos="4680"/>
          <w:tab w:val="clear" w:pos="9360"/>
        </w:tabs>
        <w:jc w:val="both"/>
        <w:rPr/>
      </w:pPr>
      <w:r>
        <w:rPr/>
      </w:r>
    </w:p>
    <w:p>
      <w:pPr>
        <w:pStyle w:val="Header"/>
        <w:tabs>
          <w:tab w:val="clear" w:pos="4680"/>
          <w:tab w:val="clear" w:pos="9360"/>
        </w:tabs>
        <w:jc w:val="both"/>
        <w:rPr/>
      </w:pPr>
      <w:r>
        <w:rPr/>
        <w:t>2.</w:t>
        <w:tab/>
        <w:t>The Base Contract for Short-Term Sale and Purchase of Natural Gas dated as of June 11, 1999 and all provisions and special provisions thereto between ENA, as successor in interest to Columbia Energy Services Corporation (“CES”), and Guadalupe Power Partners, LP (“GPP”), as amended by the Amendment to Base Contract for Short-Term Sale and Purchase of Natural Gas dated as of August 25, 1999 (the “Agreement”) has had gas flow thereunder during the months of December, 2000 and January, 2001.  The Agreement was not generated by ENA, but was acquired by ENA from CES.  In discussions between ENA and GPP concerning the start up of GPP’s power generation facilities, it appears there is a difference of opinion as to the nomination procedures under the Agreement relating to GPP’s swing and sell-back rights.  GPP has to date adhered to ENA’s view of the nomination procedures, however GPP has also sent a “reservation of rights letter” concerning its opinion of the nomination procedure.  Such letter dated December 5, 2000 has been provided to Buyer.</w:t>
      </w:r>
    </w:p>
    <w:p>
      <w:pPr>
        <w:pStyle w:val="Header"/>
        <w:tabs>
          <w:tab w:val="clear" w:pos="4680"/>
          <w:tab w:val="clear" w:pos="9360"/>
        </w:tabs>
        <w:jc w:val="both"/>
        <w:rPr/>
      </w:pPr>
      <w:r>
        <w:rPr/>
      </w:r>
    </w:p>
    <w:p>
      <w:pPr>
        <w:pStyle w:val="Header"/>
        <w:tabs>
          <w:tab w:val="clear" w:pos="4680"/>
          <w:tab w:val="clear" w:pos="9360"/>
        </w:tabs>
        <w:jc w:val="both"/>
        <w:rPr/>
      </w:pPr>
      <w:r>
        <w:rPr/>
      </w:r>
    </w:p>
    <w:p>
      <w:pPr>
        <w:sectPr>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360" w:charSpace="0"/>
        </w:sectPr>
        <w:pStyle w:val="Header"/>
        <w:tabs>
          <w:tab w:val="clear" w:pos="4680"/>
          <w:tab w:val="clear" w:pos="9360"/>
        </w:tabs>
        <w:jc w:val="both"/>
        <w:rPr/>
      </w:pPr>
      <w:r>
        <w:rPr/>
      </w:r>
    </w:p>
    <w:p>
      <w:pPr>
        <w:pStyle w:val="Header"/>
        <w:tabs>
          <w:tab w:val="clear" w:pos="4680"/>
          <w:tab w:val="clear" w:pos="9360"/>
        </w:tabs>
        <w:jc w:val="center"/>
        <w:rPr/>
      </w:pPr>
      <w:r>
        <w:rPr/>
        <w:t>PROJECTED CAPITAL EXPENDITURE</w:t>
      </w:r>
    </w:p>
    <w:p>
      <w:pPr>
        <w:pStyle w:val="Header"/>
        <w:tabs>
          <w:tab w:val="clear" w:pos="4680"/>
          <w:tab w:val="clear" w:pos="9360"/>
        </w:tabs>
        <w:jc w:val="center"/>
        <w:rPr/>
      </w:pPr>
      <w:r>
        <w:rPr/>
        <w:t>HPL</w:t>
      </w:r>
    </w:p>
    <w:p>
      <w:pPr>
        <w:pStyle w:val="Header"/>
        <w:tabs>
          <w:tab w:val="clear" w:pos="4680"/>
          <w:tab w:val="clear" w:pos="9360"/>
        </w:tabs>
        <w:jc w:val="center"/>
        <w:rPr/>
      </w:pPr>
      <w:r>
        <w:rPr/>
        <w:t>SUMMARY OF COMMITMENTS**</w:t>
      </w:r>
    </w:p>
    <w:p>
      <w:pPr>
        <w:pStyle w:val="Header"/>
        <w:tabs>
          <w:tab w:val="clear" w:pos="4680"/>
          <w:tab w:val="clear" w:pos="9360"/>
        </w:tabs>
        <w:jc w:val="both"/>
        <w:rPr>
          <w:sz w:val="20"/>
        </w:rPr>
      </w:pPr>
      <w:r>
        <w:rPr>
          <w:sz w:val="20"/>
        </w:rPr>
      </w:r>
    </w:p>
    <w:tbl>
      <w:tblPr>
        <w:tblW w:w="15192" w:type="dxa"/>
        <w:jc w:val="start"/>
        <w:tblInd w:w="0" w:type="dxa"/>
        <w:tblLayout w:type="fixed"/>
        <w:tblCellMar>
          <w:top w:w="0" w:type="dxa"/>
          <w:start w:w="108" w:type="dxa"/>
          <w:bottom w:w="0" w:type="dxa"/>
          <w:end w:w="108" w:type="dxa"/>
        </w:tblCellMar>
      </w:tblPr>
      <w:tblGrid>
        <w:gridCol w:w="6408"/>
        <w:gridCol w:w="1350"/>
        <w:gridCol w:w="1170"/>
        <w:gridCol w:w="1890"/>
        <w:gridCol w:w="1890"/>
        <w:gridCol w:w="2484"/>
      </w:tblGrid>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b/>
                <w:bCs/>
                <w:sz w:val="20"/>
              </w:rPr>
              <w:t>Project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Work</w:t>
            </w:r>
          </w:p>
          <w:p>
            <w:pPr>
              <w:pStyle w:val="Header"/>
              <w:tabs>
                <w:tab w:val="clear" w:pos="4680"/>
                <w:tab w:val="clear" w:pos="9360"/>
              </w:tabs>
              <w:jc w:val="both"/>
              <w:rPr>
                <w:sz w:val="20"/>
              </w:rPr>
            </w:pPr>
            <w:r>
              <w:rPr>
                <w:b/>
                <w:bCs/>
                <w:sz w:val="20"/>
              </w:rPr>
              <w:t>Order Number</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Work</w:t>
            </w:r>
          </w:p>
          <w:p>
            <w:pPr>
              <w:pStyle w:val="Header"/>
              <w:tabs>
                <w:tab w:val="clear" w:pos="4680"/>
                <w:tab w:val="clear" w:pos="9360"/>
              </w:tabs>
              <w:jc w:val="both"/>
              <w:rPr>
                <w:sz w:val="20"/>
              </w:rPr>
            </w:pPr>
            <w:r>
              <w:rPr>
                <w:b/>
                <w:bCs/>
                <w:sz w:val="20"/>
              </w:rPr>
              <w:t>Order Version</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Forecasted</w:t>
            </w:r>
          </w:p>
          <w:p>
            <w:pPr>
              <w:pStyle w:val="Header"/>
              <w:tabs>
                <w:tab w:val="clear" w:pos="4680"/>
                <w:tab w:val="clear" w:pos="9360"/>
              </w:tabs>
              <w:jc w:val="both"/>
              <w:rPr>
                <w:sz w:val="20"/>
              </w:rPr>
            </w:pPr>
            <w:r>
              <w:rPr>
                <w:b/>
                <w:bCs/>
                <w:sz w:val="20"/>
              </w:rPr>
              <w:t>Amount</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Actual Amount</w:t>
            </w:r>
          </w:p>
          <w:p>
            <w:pPr>
              <w:pStyle w:val="Header"/>
              <w:tabs>
                <w:tab w:val="clear" w:pos="4680"/>
                <w:tab w:val="clear" w:pos="9360"/>
              </w:tabs>
              <w:jc w:val="both"/>
              <w:rPr>
                <w:sz w:val="20"/>
              </w:rPr>
            </w:pPr>
            <w:r>
              <w:rPr>
                <w:b/>
                <w:bCs/>
                <w:sz w:val="20"/>
              </w:rPr>
              <w:t>as of 11/27/00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Remaining</w:t>
            </w:r>
          </w:p>
          <w:p>
            <w:pPr>
              <w:pStyle w:val="Header"/>
              <w:tabs>
                <w:tab w:val="clear" w:pos="4680"/>
                <w:tab w:val="clear" w:pos="9360"/>
              </w:tabs>
              <w:jc w:val="both"/>
              <w:rPr>
                <w:b/>
                <w:bCs/>
                <w:sz w:val="20"/>
              </w:rPr>
            </w:pPr>
            <w:r>
              <w:rPr>
                <w:b/>
                <w:bCs/>
                <w:sz w:val="20"/>
              </w:rPr>
              <w:t>Committed Amount</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b/>
                <w:bCs/>
                <w:sz w:val="20"/>
              </w:rPr>
              <w:t>SPINNAKER</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  Lehman Dehy Site Modifications-12 #3075</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C0073591</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Revision 1</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$200,000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$103,896</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$96,104</w:t>
            </w:r>
          </w:p>
          <w:p>
            <w:pPr>
              <w:pStyle w:val="Header"/>
              <w:tabs>
                <w:tab w:val="clear" w:pos="4680"/>
                <w:tab w:val="clear" w:pos="9360"/>
              </w:tabs>
              <w:jc w:val="both"/>
              <w:rPr>
                <w:sz w:val="20"/>
              </w:rPr>
            </w:pPr>
            <w:r>
              <w:rPr>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 xml:space="preserve">2.  MAC – Vector Site – Spinnaker </w:t>
              <w:tab/>
              <w:t>Project Remove 16” sr orifice mtr run, 16” dehy valving</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C007358R</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Revision 1</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$40,000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$3,210</w:t>
              <w:tab/>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$36,790</w:t>
            </w:r>
          </w:p>
          <w:p>
            <w:pPr>
              <w:pStyle w:val="Header"/>
              <w:tabs>
                <w:tab w:val="clear" w:pos="4680"/>
                <w:tab w:val="clear" w:pos="9360"/>
              </w:tabs>
              <w:jc w:val="both"/>
              <w:rPr>
                <w:sz w:val="20"/>
              </w:rPr>
            </w:pPr>
            <w:r>
              <w:rPr>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3.  Lehman Site –Spinnaker Project – Inst slug sep, tanks, orifice mtr run, 16” dehy valving</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C0073311</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Revision 1</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$1,100,000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$718,049</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$381,951</w:t>
            </w:r>
          </w:p>
          <w:p>
            <w:pPr>
              <w:pStyle w:val="Header"/>
              <w:tabs>
                <w:tab w:val="clear" w:pos="4680"/>
                <w:tab w:val="clear" w:pos="9360"/>
              </w:tabs>
              <w:jc w:val="both"/>
              <w:rPr>
                <w:sz w:val="20"/>
              </w:rPr>
            </w:pPr>
            <w:r>
              <w:rPr>
                <w:sz w:val="20"/>
              </w:rPr>
              <w:t xml:space="preserve">    </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4.  Block 883 – 10” Gathering Line – Reimburse Spinnaker 1.3M</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C0073281</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Revision 1</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$1,300,000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$1,300,000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p>
            <w:pPr>
              <w:pStyle w:val="Header"/>
              <w:tabs>
                <w:tab w:val="clear" w:pos="4680"/>
                <w:tab w:val="clear" w:pos="9360"/>
              </w:tabs>
              <w:jc w:val="both"/>
              <w:rPr>
                <w:sz w:val="20"/>
              </w:rPr>
            </w:pPr>
            <w:r>
              <w:rPr>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5.  Block 883 – 10” EFM Installation/ Inspection</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C00731131</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$75,000</w:t>
              <w:tab/>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$82,328</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6.  20” S. Padre Island Modification</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C007371</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Revision 1</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$6,600,000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$1,993,366</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$4,606,634</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7.  .  S. Padre 20” Line MLV &amp; Cleaning</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C007441R</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$28,000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$28,000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b/>
                <w:bCs/>
                <w:sz w:val="20"/>
              </w:rPr>
              <w:t>Total Forecasted and Spent to Date for the Entire Spinnaker Project: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$9,343,000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$4,200,849</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$5,142,151</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HPL – SHIP CHANNEL CROSSING AT BAYTOWN*</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 xml:space="preserve">1.  </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Not Assigned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$1,300,000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$1,300,000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b/>
                <w:bCs/>
                <w:sz w:val="20"/>
              </w:rPr>
              <w:t>Total Forecasted and Spent to Date for the HPL – Ship Channel Project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$1,300,000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$1,300,000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A/S LINE – SHIP CHANNEL CROSSING *</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Not Assigned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$1,645,010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$1,645,010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b/>
                <w:bCs/>
                <w:sz w:val="20"/>
              </w:rPr>
              <w:t>Total Forecasted and Spent to Date for the AS Line – Ship Channel Project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$1,645,010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$1,645,010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A/S LINE – RUPTURE</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b/>
                <w:bCs/>
                <w:sz w:val="20"/>
              </w:rPr>
            </w:pPr>
            <w:r>
              <w:rPr>
                <w:b/>
                <w:bCs/>
                <w:sz w:val="20"/>
              </w:rPr>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1.  Repair 30" A/S Line Rupture – 600 feet of pipe and hydrotest</w:t>
            </w:r>
            <w:r>
              <w:rPr>
                <w:b/>
                <w:bCs/>
                <w:sz w:val="20"/>
              </w:rPr>
              <w: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Not Assigned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$425,000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$425,000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2.  Install pig launchers and receivers, replace valves</w:t>
            </w:r>
            <w:r>
              <w:rPr>
                <w:b/>
                <w:bCs/>
                <w:sz w:val="20"/>
              </w:rPr>
              <w: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Not Assigned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$925,000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$925,000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3.  Cost to do smart pigging on 50 mile class 3 section</w:t>
            </w:r>
            <w:r>
              <w:rPr>
                <w:b/>
                <w:bCs/>
                <w:sz w:val="20"/>
              </w:rPr>
              <w:t>****</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Not Assigned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Original</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$250,000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sz w:val="20"/>
              </w:rPr>
            </w:pPr>
            <w:r>
              <w:rPr>
                <w:sz w:val="20"/>
              </w:rPr>
              <w:t>$250,000</w:t>
            </w:r>
          </w:p>
        </w:tc>
      </w:tr>
      <w:tr>
        <w:trPr/>
        <w:tc>
          <w:tcPr>
            <w:tcW w:w="6408"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snapToGrid w:val="false"/>
              <w:jc w:val="both"/>
              <w:rPr>
                <w:sz w:val="20"/>
              </w:rPr>
            </w:pPr>
            <w:r>
              <w:rPr>
                <w:sz w:val="20"/>
              </w:rPr>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$1,600,000</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$0</w:t>
            </w:r>
          </w:p>
        </w:tc>
        <w:tc>
          <w:tcPr>
            <w:tcW w:w="2484" w:type="dxa"/>
            <w:tcBorders>
              <w:top w:val="single" w:sz="4" w:space="0" w:color="000000"/>
              <w:start w:val="single" w:sz="4" w:space="0" w:color="000000"/>
              <w:bottom w:val="single" w:sz="4" w:space="0" w:color="000000"/>
              <w:end w:val="single" w:sz="4" w:space="0" w:color="000000"/>
            </w:tcBorders>
          </w:tcPr>
          <w:p>
            <w:pPr>
              <w:pStyle w:val="Header"/>
              <w:tabs>
                <w:tab w:val="clear" w:pos="4680"/>
                <w:tab w:val="clear" w:pos="9360"/>
              </w:tabs>
              <w:jc w:val="both"/>
              <w:rPr>
                <w:b/>
                <w:bCs/>
                <w:sz w:val="20"/>
              </w:rPr>
            </w:pPr>
            <w:r>
              <w:rPr>
                <w:b/>
                <w:bCs/>
                <w:sz w:val="20"/>
              </w:rPr>
              <w:t>$1,600,000</w:t>
            </w:r>
          </w:p>
        </w:tc>
      </w:tr>
    </w:tbl>
    <w:p>
      <w:pPr>
        <w:pStyle w:val="Header"/>
        <w:tabs>
          <w:tab w:val="clear" w:pos="4680"/>
          <w:tab w:val="clear" w:pos="9360"/>
        </w:tabs>
        <w:ind w:hanging="450" w:start="450" w:end="0"/>
        <w:jc w:val="both"/>
        <w:rPr>
          <w:b/>
          <w:bCs/>
          <w:sz w:val="20"/>
        </w:rPr>
      </w:pPr>
      <w:r>
        <w:rPr>
          <w:b/>
          <w:bCs/>
          <w:sz w:val="20"/>
        </w:rPr>
        <w:t>*</w:t>
        <w:tab/>
        <w:t xml:space="preserve">Note:  Reflects cost of removing, but not replacing the Ship Channel Crossing.  Decision to replace will be at option of new owner.  </w:t>
      </w:r>
    </w:p>
    <w:p>
      <w:pPr>
        <w:pStyle w:val="Header"/>
        <w:tabs>
          <w:tab w:val="clear" w:pos="4680"/>
          <w:tab w:val="clear" w:pos="9360"/>
        </w:tabs>
        <w:ind w:hanging="432" w:start="432" w:end="0"/>
        <w:jc w:val="both"/>
        <w:rPr>
          <w:b/>
          <w:bCs/>
          <w:sz w:val="20"/>
        </w:rPr>
      </w:pPr>
      <w:r>
        <w:rPr>
          <w:b/>
          <w:bCs/>
          <w:sz w:val="20"/>
        </w:rPr>
        <w:t>**</w:t>
        <w:tab/>
        <w:t>Note:  This chart does not include amounts that may need to be expended in response to HPL’s ongoing periodic reviews for maintenance, operations or regulatory requirements review.</w:t>
      </w:r>
    </w:p>
    <w:p>
      <w:pPr>
        <w:pStyle w:val="Header"/>
        <w:tabs>
          <w:tab w:val="clear" w:pos="4680"/>
          <w:tab w:val="clear" w:pos="9360"/>
        </w:tabs>
        <w:ind w:hanging="432" w:start="432" w:end="0"/>
        <w:rPr>
          <w:b/>
          <w:bCs/>
          <w:sz w:val="20"/>
        </w:rPr>
      </w:pPr>
      <w:r>
        <w:rPr>
          <w:b/>
          <w:bCs/>
          <w:sz w:val="20"/>
        </w:rPr>
        <w:t>***</w:t>
        <w:tab/>
        <w:t>Note:  Constitutes Retained A/S Line Liabilities, whether involving amounts more or less than reflected above.</w:t>
      </w:r>
    </w:p>
    <w:p>
      <w:pPr>
        <w:sectPr>
          <w:footerReference w:type="default" r:id="rId11"/>
          <w:footerReference w:type="first" r:id="rId12"/>
          <w:type w:val="nextPage"/>
          <w:pgSz w:orient="landscape" w:w="15840" w:h="12240"/>
          <w:pgMar w:left="432" w:right="432" w:gutter="0" w:header="0" w:top="1440" w:footer="720" w:bottom="1440"/>
          <w:pgNumType w:fmt="decimal"/>
          <w:formProt w:val="false"/>
          <w:textDirection w:val="lrTb"/>
          <w:docGrid w:type="default" w:linePitch="360" w:charSpace="0"/>
        </w:sectPr>
        <w:pStyle w:val="Header"/>
        <w:tabs>
          <w:tab w:val="clear" w:pos="4680"/>
          <w:tab w:val="clear" w:pos="9360"/>
        </w:tabs>
        <w:ind w:hanging="432" w:start="432" w:end="0"/>
        <w:rPr>
          <w:b/>
          <w:bCs/>
          <w:sz w:val="20"/>
        </w:rPr>
      </w:pPr>
      <w:r>
        <w:rPr>
          <w:b/>
          <w:bCs/>
          <w:sz w:val="20"/>
        </w:rPr>
        <w:t>****</w:t>
        <w:tab/>
        <w:t>Note:  Constitutes A/S Line Additional Liabilities, whether involving amounts more or less than reflected above.</w:t>
      </w:r>
    </w:p>
    <w:p>
      <w:pPr>
        <w:pStyle w:val="Normal"/>
        <w:jc w:val="center"/>
        <w:rPr/>
      </w:pPr>
      <w:r>
        <w:rPr/>
        <w:t>PURCHASE AND SALE AGREEMENT</w:t>
      </w:r>
    </w:p>
    <w:p>
      <w:pPr>
        <w:pStyle w:val="Normal"/>
        <w:jc w:val="center"/>
        <w:rPr/>
      </w:pPr>
      <w:r>
        <w:rPr/>
      </w:r>
    </w:p>
    <w:p>
      <w:pPr>
        <w:pStyle w:val="Normal"/>
        <w:jc w:val="center"/>
        <w:rPr/>
      </w:pPr>
      <w:r>
        <w:rPr/>
        <w:t>Schedule 4.13 – Addendum</w:t>
      </w:r>
    </w:p>
    <w:p>
      <w:pPr>
        <w:pStyle w:val="Normal"/>
        <w:jc w:val="center"/>
        <w:rPr/>
      </w:pPr>
      <w:r>
        <w:rPr/>
      </w:r>
    </w:p>
    <w:p>
      <w:pPr>
        <w:pStyle w:val="Header"/>
        <w:tabs>
          <w:tab w:val="clear" w:pos="4680"/>
          <w:tab w:val="clear" w:pos="9360"/>
        </w:tabs>
        <w:jc w:val="center"/>
        <w:rPr/>
      </w:pPr>
      <w:r>
        <w:rPr/>
        <w:t>Additional Purchase and/or Sale Agreements</w:t>
      </w:r>
    </w:p>
    <w:p>
      <w:pPr>
        <w:pStyle w:val="Header"/>
        <w:tabs>
          <w:tab w:val="clear" w:pos="4680"/>
          <w:tab w:val="clear" w:pos="9360"/>
        </w:tabs>
        <w:jc w:val="center"/>
        <w:rPr/>
      </w:pPr>
      <w:r>
        <w:rPr/>
        <w:t>Meeting the Criteria</w:t>
      </w:r>
    </w:p>
    <w:p>
      <w:pPr>
        <w:pStyle w:val="Header"/>
        <w:tabs>
          <w:tab w:val="clear" w:pos="4680"/>
          <w:tab w:val="clear" w:pos="9360"/>
        </w:tabs>
        <w:jc w:val="center"/>
        <w:rPr/>
      </w:pPr>
      <w:r>
        <w:rPr/>
      </w:r>
    </w:p>
    <w:p>
      <w:pPr>
        <w:pStyle w:val="Header"/>
        <w:tabs>
          <w:tab w:val="left" w:pos="720" w:leader="none"/>
          <w:tab w:val="center" w:pos="4680" w:leader="none"/>
          <w:tab w:val="right" w:pos="9360" w:leader="none"/>
        </w:tabs>
        <w:rPr>
          <w:i/>
          <w:i/>
          <w:iCs/>
        </w:rPr>
      </w:pPr>
      <w:r>
        <w:rPr>
          <w:i/>
          <w:iCs/>
        </w:rPr>
        <w:t>The following sets forth those contracts with deals with a term extending beyond December 1, 2000 and delivery of greater than 2,500 Mmbtu/d PLUS those contracts with deals with a term extending beyond December 1, 2001 and delivery of greater than 1,000 Mmbtu/d (excluding deals done for December, 2000 only), together with, to the best of our knowledge, the amendments applicable thereto as reflected in Enron’s Global Contract System as of December 27, 2000.</w:t>
      </w:r>
    </w:p>
    <w:p>
      <w:pPr>
        <w:pStyle w:val="Header"/>
        <w:tabs>
          <w:tab w:val="left" w:pos="720" w:leader="none"/>
          <w:tab w:val="center" w:pos="4680" w:leader="none"/>
          <w:tab w:val="right" w:pos="9360" w:leader="none"/>
        </w:tabs>
        <w:ind w:hanging="720" w:start="720" w:end="0"/>
        <w:rPr>
          <w:i/>
          <w:i/>
          <w:iCs/>
        </w:rPr>
      </w:pPr>
      <w:r>
        <w:rPr>
          <w:i/>
          <w:iCs/>
        </w:rPr>
      </w:r>
    </w:p>
    <w:p>
      <w:pPr>
        <w:pStyle w:val="Header"/>
        <w:tabs>
          <w:tab w:val="left" w:pos="720" w:leader="none"/>
          <w:tab w:val="center" w:pos="4680" w:leader="none"/>
          <w:tab w:val="right" w:pos="9360" w:leader="none"/>
        </w:tabs>
        <w:ind w:hanging="720" w:start="720" w:end="0"/>
        <w:rPr>
          <w:b/>
          <w:bCs/>
        </w:rPr>
      </w:pPr>
      <w:r>
        <w:rPr>
          <w:b/>
          <w:bCs/>
        </w:rPr>
        <w:t>Purchases</w:t>
      </w:r>
    </w:p>
    <w:p>
      <w:pPr>
        <w:pStyle w:val="Header"/>
        <w:tabs>
          <w:tab w:val="left" w:pos="720" w:leader="none"/>
          <w:tab w:val="center" w:pos="4680" w:leader="none"/>
          <w:tab w:val="right" w:pos="9360" w:leader="none"/>
        </w:tabs>
        <w:ind w:hanging="720" w:start="720" w:end="0"/>
        <w:rPr>
          <w:b/>
          <w:bCs/>
        </w:rPr>
      </w:pPr>
      <w:r>
        <w:rPr>
          <w:b/>
          <w:bCs/>
        </w:rPr>
      </w:r>
    </w:p>
    <w:p>
      <w:pPr>
        <w:pStyle w:val="Header"/>
        <w:numPr>
          <w:ilvl w:val="0"/>
          <w:numId w:val="15"/>
        </w:numPr>
        <w:rPr/>
      </w:pPr>
      <w:r>
        <w:rPr/>
        <w:t>Enron Global Contract 96052809.  That certain Enfolio Gas Purchase Agreement (Reserves Committed/Index Pricing) dated December 1, 2000 between Cody Energy LLC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96054170.  That certain Enfolio Firm Confirmation-Enfolio Firm General Terms and Conditions dated December 18, 2000 between AEC Storage and Hub Services Inc.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96053771.  That certain Enfolio Firm Confirmation-Enfolio Firm General Terms and Conditions dated December 18, 2000 between AEC Storage and Hub Services Inc.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96054394.  That certain Enfolio Firm Confirmation-Enfolio Firm General Terms and Conditions dated December 22, 2000 between AEC Storage and Hub Services Inc., a business unit of Alberta Energy Company Ltd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96016597.  That certain Master Gas Contract dated October 31, 1996 between Altrade Transaction, L.L.C., formerly QuickTrade, L.L.C. and Enron Capital &amp; Trade Resources, Inc.</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96018857.  That certain Enfolio Gas Purchase Agreement/Committed Reserves Confirmation of Extension dated December 12, 2000 between Cobra Operating Company and Houston Pipe Line Company.</w:t>
      </w:r>
    </w:p>
    <w:p>
      <w:pPr>
        <w:pStyle w:val="Header"/>
        <w:tabs>
          <w:tab w:val="left" w:pos="720" w:leader="none"/>
          <w:tab w:val="center" w:pos="4680" w:leader="none"/>
          <w:tab w:val="right" w:pos="9360" w:leader="none"/>
        </w:tabs>
        <w:rPr/>
      </w:pPr>
      <w:r>
        <w:rPr/>
      </w:r>
    </w:p>
    <w:p>
      <w:pPr>
        <w:pStyle w:val="Header"/>
        <w:numPr>
          <w:ilvl w:val="0"/>
          <w:numId w:val="15"/>
        </w:numPr>
        <w:rPr/>
      </w:pPr>
      <w:r>
        <w:rPr/>
        <w:t>Enron Global Contract 96054441.  That certain Enfolio Firm Confirmation-Enfolio Firm General Terms and Conditions dated January 2, 2001 between Goldston Oil Corporation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96054169.  That certain Enfolio Firm Confirmation-Enfolio Firm General Terms and Conditions dated December 18, 2000 between Hess Energy Services Company, LLC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96054439.  That certain Enfolio Firm Confirmation-Enfolio Firm General Terms and Conditions dated December 22, 2000 between Louis Dreyfus Natural Gas Corp.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96052445.  That certain Enfolio Committed Reserves Gas Purchase Agreement dated December 1, 2000 between St. Mary Land &amp; Exploration Company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96030297.  That certain Enfolio Firm Confirmation-General Terms and Conditions dated July1, 1999 between Unocal Energy Trading Inc.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96013414.  That certain Enfolio Master Firm Purchase and Sales Agreement dated January 1, 1998 and the Transaction Agreement dated December 22, 2000 between EGP Fuels Company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96013411.  That certain Enfolio Master Firm Purchase and Sales Agreement dated January 1, 1998 and the Transaction Agreement dated December 22, 2000 between Enron Methanol Company and Houston Pipe Line Company.</w:t>
      </w:r>
    </w:p>
    <w:p>
      <w:pPr>
        <w:pStyle w:val="Header"/>
        <w:tabs>
          <w:tab w:val="left" w:pos="720" w:leader="none"/>
          <w:tab w:val="center" w:pos="4680" w:leader="none"/>
          <w:tab w:val="right" w:pos="9360" w:leader="none"/>
        </w:tabs>
        <w:ind w:hanging="720" w:start="720" w:end="0"/>
        <w:rPr/>
      </w:pPr>
      <w:r>
        <w:rPr/>
      </w:r>
    </w:p>
    <w:p>
      <w:pPr>
        <w:pStyle w:val="Header"/>
        <w:numPr>
          <w:ilvl w:val="0"/>
          <w:numId w:val="15"/>
        </w:numPr>
        <w:rPr/>
      </w:pPr>
      <w:r>
        <w:rPr/>
        <w:t>Enron Global Contract 96039627.  That certain Enfolio Master Firm Purchase and Sale Agreement dated November 1, 1999 and the Transaction Agreement dated December 21, 2000 between Western Gas Resources, Inc. and Houston Pipe Line Company.</w:t>
      </w:r>
    </w:p>
    <w:p>
      <w:pPr>
        <w:pStyle w:val="Header"/>
        <w:tabs>
          <w:tab w:val="left" w:pos="720" w:leader="none"/>
          <w:tab w:val="center" w:pos="4680" w:leader="none"/>
          <w:tab w:val="right" w:pos="9360" w:leader="none"/>
        </w:tabs>
        <w:ind w:hanging="720" w:start="720" w:end="0"/>
        <w:rPr/>
      </w:pPr>
      <w:r>
        <w:rPr/>
      </w:r>
    </w:p>
    <w:p>
      <w:pPr>
        <w:pStyle w:val="Header"/>
        <w:tabs>
          <w:tab w:val="left" w:pos="720" w:leader="none"/>
          <w:tab w:val="center" w:pos="4680" w:leader="none"/>
          <w:tab w:val="right" w:pos="9360" w:leader="none"/>
        </w:tabs>
        <w:ind w:hanging="720" w:start="720" w:end="0"/>
        <w:rPr>
          <w:b/>
          <w:bCs/>
        </w:rPr>
      </w:pPr>
      <w:r>
        <w:rPr>
          <w:b/>
          <w:bCs/>
        </w:rPr>
        <w:t>Sales</w:t>
      </w:r>
    </w:p>
    <w:p>
      <w:pPr>
        <w:pStyle w:val="Header"/>
        <w:tabs>
          <w:tab w:val="left" w:pos="720" w:leader="none"/>
          <w:tab w:val="center" w:pos="4680" w:leader="none"/>
          <w:tab w:val="right" w:pos="9360" w:leader="none"/>
        </w:tabs>
        <w:ind w:hanging="720" w:start="720" w:end="0"/>
        <w:rPr>
          <w:b/>
          <w:bCs/>
        </w:rPr>
      </w:pPr>
      <w:r>
        <w:rPr>
          <w:b/>
          <w:bCs/>
        </w:rPr>
      </w:r>
    </w:p>
    <w:p>
      <w:pPr>
        <w:pStyle w:val="Header"/>
        <w:tabs>
          <w:tab w:val="clear" w:pos="4680"/>
          <w:tab w:val="clear" w:pos="9360"/>
          <w:tab w:val="left" w:pos="720" w:leader="none"/>
        </w:tabs>
        <w:ind w:hanging="720" w:start="720" w:end="0"/>
        <w:rPr/>
      </w:pPr>
      <w:r>
        <w:rPr/>
        <w:t>1.</w:t>
        <w:tab/>
        <w:t>Enron Global Contract 96055715.  That certain Enfolio Master Firm Purchase Sale Agreement dated December 1, 2000 between Mobil Oil Corporation and Houston Pipe Line Company.</w:t>
      </w:r>
      <w:r>
        <w:br w:type="page"/>
      </w:r>
    </w:p>
    <w:p>
      <w:pPr>
        <w:pStyle w:val="Header"/>
        <w:tabs>
          <w:tab w:val="clear" w:pos="4680"/>
          <w:tab w:val="clear" w:pos="9360"/>
          <w:tab w:val="left" w:pos="720" w:leader="none"/>
        </w:tabs>
        <w:ind w:hanging="720" w:start="720" w:end="0"/>
        <w:rPr/>
      </w:pPr>
      <w:r>
        <w:rPr/>
      </w:r>
    </w:p>
    <w:p>
      <w:pPr>
        <w:pStyle w:val="Normal"/>
        <w:jc w:val="center"/>
        <w:rPr/>
      </w:pPr>
      <w:r>
        <w:rPr/>
        <w:t>PURCHASE AND SALE AGREEMENT</w:t>
      </w:r>
    </w:p>
    <w:p>
      <w:pPr>
        <w:pStyle w:val="Normal"/>
        <w:jc w:val="center"/>
        <w:rPr/>
      </w:pPr>
      <w:r>
        <w:rPr/>
      </w:r>
    </w:p>
    <w:p>
      <w:pPr>
        <w:pStyle w:val="Normal"/>
        <w:jc w:val="center"/>
        <w:rPr/>
      </w:pPr>
      <w:r>
        <w:rPr/>
        <w:t>Schedule 4.14</w:t>
      </w:r>
    </w:p>
    <w:p>
      <w:pPr>
        <w:pStyle w:val="Normal"/>
        <w:jc w:val="center"/>
        <w:rPr/>
      </w:pPr>
      <w:r>
        <w:rPr/>
        <w:t>Benefit Plans</w:t>
      </w:r>
    </w:p>
    <w:p>
      <w:pPr>
        <w:pStyle w:val="Normal"/>
        <w:jc w:val="center"/>
        <w:rPr/>
      </w:pPr>
      <w:r>
        <w:rPr/>
      </w:r>
    </w:p>
    <w:p>
      <w:pPr>
        <w:pStyle w:val="Normal"/>
        <w:jc w:val="center"/>
        <w:rPr/>
      </w:pPr>
      <w:r>
        <w:rPr/>
      </w:r>
    </w:p>
    <w:p>
      <w:pPr>
        <w:pStyle w:val="Normal"/>
        <w:jc w:val="center"/>
        <w:rPr/>
      </w:pPr>
      <w:r>
        <w:rPr/>
      </w:r>
    </w:p>
    <w:p>
      <w:pPr>
        <w:pStyle w:val="Normal"/>
        <w:rPr/>
      </w:pPr>
      <w:r>
        <w:rPr/>
        <w:t>There are no Company Benefit Plans.</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4.15(a)</w:t>
      </w:r>
    </w:p>
    <w:p>
      <w:pPr>
        <w:pStyle w:val="Normal"/>
        <w:jc w:val="center"/>
        <w:rPr/>
      </w:pPr>
      <w:r>
        <w:rPr/>
        <w:t>Environmental Matters</w:t>
      </w:r>
    </w:p>
    <w:p>
      <w:pPr>
        <w:pStyle w:val="Normal"/>
        <w:jc w:val="center"/>
        <w:rPr/>
      </w:pPr>
      <w:r>
        <w:rPr/>
      </w:r>
    </w:p>
    <w:p>
      <w:pPr>
        <w:pStyle w:val="Normal"/>
        <w:tabs>
          <w:tab w:val="clear" w:pos="720"/>
          <w:tab w:val="left" w:pos="-720" w:leader="none"/>
        </w:tabs>
        <w:suppressAutoHyphens w:val="true"/>
        <w:jc w:val="both"/>
        <w:rPr/>
      </w:pPr>
      <w:r>
        <w:rPr>
          <w:rFonts w:cs="CG Times 12pt;Times New Roman" w:ascii="CG Times 12pt;Times New Roman" w:hAnsi="CG Times 12pt;Times New Roman"/>
          <w:b/>
          <w:spacing w:val="-3"/>
        </w:rPr>
        <w:t>NOTE:</w:t>
      </w:r>
      <w:r>
        <w:rPr>
          <w:rFonts w:cs="CG Times 12pt;Times New Roman" w:ascii="CG Times 12pt;Times New Roman" w:hAnsi="CG Times 12pt;Times New Roman"/>
          <w:spacing w:val="-3"/>
        </w:rPr>
        <w:t xml:space="preserve"> While not conceding or admitting that the conditions listed below constitute violations of any environmental laws, corrective actions may be required or are currently being undertaken at the following site(s).</w:t>
      </w:r>
    </w:p>
    <w:p>
      <w:pPr>
        <w:pStyle w:val="Normal"/>
        <w:autoSpaceDE w:val="false"/>
        <w:ind w:firstLine="60" w:end="0"/>
        <w:rPr/>
      </w:pPr>
      <w:r>
        <w:rPr/>
      </w:r>
    </w:p>
    <w:p>
      <w:pPr>
        <w:pStyle w:val="Heading2"/>
        <w:ind w:hanging="0" w:start="0"/>
        <w:rPr>
          <w:b w:val="false"/>
        </w:rPr>
      </w:pPr>
      <w:r>
        <w:rPr>
          <w:b w:val="false"/>
        </w:rPr>
        <w:t>HPL Properties</w:t>
      </w:r>
    </w:p>
    <w:p>
      <w:pPr>
        <w:pStyle w:val="Normal"/>
        <w:rPr>
          <w:b/>
        </w:rPr>
      </w:pPr>
      <w:r>
        <w:rPr>
          <w:b/>
        </w:rPr>
      </w:r>
    </w:p>
    <w:p>
      <w:pPr>
        <w:pStyle w:val="EndnoteText"/>
        <w:rPr>
          <w:rFonts w:ascii="Times New Roman" w:hAnsi="Times New Roman" w:cs="Times New Roman"/>
          <w:u w:val="single"/>
        </w:rPr>
      </w:pPr>
      <w:r>
        <w:rPr>
          <w:rFonts w:cs="Times New Roman" w:ascii="Times New Roman" w:hAnsi="Times New Roman"/>
          <w:u w:val="single"/>
        </w:rPr>
        <w:t>Dehydrator Sites</w:t>
      </w:r>
    </w:p>
    <w:p>
      <w:pPr>
        <w:pStyle w:val="Normal"/>
        <w:rPr>
          <w:rFonts w:ascii="Times New Roman" w:hAnsi="Times New Roman" w:cs="Times New Roman"/>
          <w:u w:val="single"/>
        </w:rPr>
      </w:pPr>
      <w:r>
        <w:rPr>
          <w:rFonts w:cs="Times New Roman"/>
          <w:u w:val="single"/>
        </w:rPr>
      </w:r>
    </w:p>
    <w:p>
      <w:pPr>
        <w:pStyle w:val="Normal"/>
        <w:rPr>
          <w:spacing w:val="-3"/>
        </w:rPr>
      </w:pPr>
      <w:r>
        <w:rPr>
          <w:spacing w:val="-3"/>
        </w:rPr>
        <w:t>Lehman Dehydrator Site</w:t>
      </w:r>
    </w:p>
    <w:p>
      <w:pPr>
        <w:pStyle w:val="Normal"/>
        <w:rPr/>
      </w:pPr>
      <w:r>
        <w:rPr/>
        <w:t xml:space="preserve">Hydrocarbon impact (TPH and BTEX) to soil and potentially groundwater from a former dehydrator site. Previous investigations did not encounter groundwater.  </w:t>
      </w:r>
    </w:p>
    <w:p>
      <w:pPr>
        <w:pStyle w:val="Normal"/>
        <w:rPr/>
      </w:pPr>
      <w:r>
        <w:rPr/>
      </w:r>
    </w:p>
    <w:p>
      <w:pPr>
        <w:pStyle w:val="Normal"/>
        <w:rPr/>
      </w:pPr>
      <w:r>
        <w:rPr/>
        <w:t>Triton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Test results are not yet available. A response to the TRC is being prepared. </w:t>
      </w:r>
    </w:p>
    <w:p>
      <w:pPr>
        <w:pStyle w:val="Normal"/>
        <w:rPr>
          <w:spacing w:val="-3"/>
        </w:rPr>
      </w:pPr>
      <w:r>
        <w:rPr>
          <w:spacing w:val="-3"/>
        </w:rPr>
      </w:r>
    </w:p>
    <w:p>
      <w:pPr>
        <w:pStyle w:val="Normal"/>
        <w:rPr>
          <w:spacing w:val="-3"/>
        </w:rPr>
      </w:pPr>
      <w:r>
        <w:rPr>
          <w:spacing w:val="-3"/>
        </w:rPr>
        <w:t>San Patricio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Test results are not yet available. A response to the TRC is being prepared. </w:t>
      </w:r>
    </w:p>
    <w:p>
      <w:pPr>
        <w:pStyle w:val="Normal"/>
        <w:rPr>
          <w:spacing w:val="-3"/>
        </w:rPr>
      </w:pPr>
      <w:r>
        <w:rPr>
          <w:spacing w:val="-3"/>
        </w:rPr>
      </w:r>
    </w:p>
    <w:p>
      <w:pPr>
        <w:pStyle w:val="Normal"/>
        <w:rPr>
          <w:spacing w:val="-3"/>
        </w:rPr>
      </w:pPr>
      <w:r>
        <w:rPr>
          <w:spacing w:val="-3"/>
        </w:rPr>
        <w:t>Daggs #1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Test results are not yet available. A response to the TRC is being prepared. </w:t>
      </w:r>
    </w:p>
    <w:p>
      <w:pPr>
        <w:pStyle w:val="Normal"/>
        <w:rPr>
          <w:spacing w:val="-3"/>
        </w:rPr>
      </w:pPr>
      <w:r>
        <w:rPr>
          <w:spacing w:val="-3"/>
        </w:rPr>
      </w:r>
    </w:p>
    <w:p>
      <w:pPr>
        <w:pStyle w:val="Normal"/>
        <w:keepNext w:val="true"/>
        <w:rPr>
          <w:spacing w:val="-3"/>
        </w:rPr>
      </w:pPr>
      <w:r>
        <w:rPr>
          <w:spacing w:val="-3"/>
        </w:rPr>
        <w:t>Texana Field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Based on favorable results of a formal Risk Assessment study, a request for site “closure” was made to TRC in 1997.  TRC recently issued a letter of concurrence with the closure recommendation.</w:t>
      </w:r>
    </w:p>
    <w:p>
      <w:pPr>
        <w:pStyle w:val="Normal"/>
        <w:rPr>
          <w:spacing w:val="-3"/>
        </w:rPr>
      </w:pPr>
      <w:r>
        <w:rPr>
          <w:spacing w:val="-3"/>
        </w:rPr>
      </w:r>
    </w:p>
    <w:p>
      <w:pPr>
        <w:pStyle w:val="Normal"/>
        <w:rPr>
          <w:spacing w:val="-3"/>
        </w:rPr>
      </w:pPr>
      <w:r>
        <w:rPr>
          <w:spacing w:val="-3"/>
        </w:rPr>
        <w:t>Franks #1 Dehydrator Site</w:t>
      </w:r>
    </w:p>
    <w:p>
      <w:pPr>
        <w:pStyle w:val="Normal"/>
        <w:rPr/>
      </w:pPr>
      <w:r>
        <w:rPr/>
        <w:t xml:space="preserve">Hydrocarbon impact (dissolved TPH and BTEX) to soil and groundwater from a former evaporation impoundment. Remediation and/or removal of impacted (near surface) soil was conducted at the site in 1990 and 1991. </w:t>
      </w:r>
      <w:r>
        <w:rPr>
          <w:spacing w:val="-3"/>
        </w:rPr>
        <w:t xml:space="preserve">Based on favorable results of a formal Risk Assessment study, a request for site “closure” was made to TRC in 1997.  TRC recently requested additional monitoring data and risk evaluation for the site. Additional groundwater samples were obtained in November 2000. Test results are not yet available. A response to the TRC is being prepared. </w:t>
      </w:r>
    </w:p>
    <w:p>
      <w:pPr>
        <w:pStyle w:val="Normal"/>
        <w:rPr>
          <w:spacing w:val="-3"/>
        </w:rPr>
      </w:pPr>
      <w:r>
        <w:rPr>
          <w:spacing w:val="-3"/>
        </w:rPr>
      </w:r>
    </w:p>
    <w:p>
      <w:pPr>
        <w:pStyle w:val="Normal"/>
        <w:rPr>
          <w:spacing w:val="-3"/>
        </w:rPr>
      </w:pPr>
      <w:r>
        <w:rPr>
          <w:spacing w:val="-3"/>
        </w:rPr>
        <w:t>Panther Point Dehydrator Site</w:t>
      </w:r>
    </w:p>
    <w:p>
      <w:pPr>
        <w:pStyle w:val="Normal"/>
        <w:rPr/>
      </w:pPr>
      <w:r>
        <w:rPr/>
        <w:t>Hydrocarbon impact (dissolved TPH and BTEX) to soil and groundwater from a former evaporation impoundment. Remediation and/or removal of impacted (near surface) soil was conducted at the site in 1990 and 1991.</w:t>
      </w:r>
      <w:r>
        <w:rPr>
          <w:spacing w:val="-3"/>
        </w:rPr>
        <w:t xml:space="preserve">  Groundwater monitoring is continuing and a formal risk assessment is planned for 2001.</w:t>
      </w:r>
    </w:p>
    <w:p>
      <w:pPr>
        <w:pStyle w:val="Normal"/>
        <w:rPr>
          <w:spacing w:val="-3"/>
        </w:rPr>
      </w:pPr>
      <w:r>
        <w:rPr>
          <w:spacing w:val="-3"/>
        </w:rPr>
      </w:r>
    </w:p>
    <w:p>
      <w:pPr>
        <w:pStyle w:val="Normal"/>
        <w:rPr/>
      </w:pPr>
      <w:r>
        <w:rPr/>
        <w:t>“</w:t>
      </w:r>
      <w:r>
        <w:rPr/>
        <w:t>Fingers Farm” Dehydrator Site</w:t>
      </w:r>
    </w:p>
    <w:p>
      <w:pPr>
        <w:pStyle w:val="Normal"/>
        <w:rPr/>
      </w:pPr>
      <w:r>
        <w:rPr/>
        <w:t>Hydrocarbon impact (dissolved TPH and BTEX) to soil and groundwater from a former evaporation impoundment. Remediation and/or removal of impacted (near surface) soil was conducted at the site in 1990 and 1991. Groundwater monitoring is in progress at the site and additional remediation may be required.</w:t>
      </w:r>
    </w:p>
    <w:p>
      <w:pPr>
        <w:pStyle w:val="Normal"/>
        <w:rPr/>
      </w:pPr>
      <w:r>
        <w:rPr/>
      </w:r>
    </w:p>
    <w:p>
      <w:pPr>
        <w:pStyle w:val="Normal"/>
        <w:autoSpaceDE w:val="false"/>
        <w:spacing w:lineRule="atLeast" w:line="240"/>
        <w:rPr>
          <w:color w:val="000000"/>
        </w:rPr>
      </w:pPr>
      <w:r>
        <w:rPr>
          <w:color w:val="000000"/>
        </w:rPr>
        <w:t>Yougeen Dehydrator</w:t>
      </w:r>
    </w:p>
    <w:p>
      <w:pPr>
        <w:pStyle w:val="Normal"/>
        <w:autoSpaceDE w:val="false"/>
        <w:spacing w:lineRule="atLeast" w:line="240"/>
        <w:rPr>
          <w:color w:val="000000"/>
        </w:rPr>
      </w:pPr>
      <w:r>
        <w:rPr>
          <w:color w:val="000000"/>
        </w:rPr>
        <w:t>Bee County, Texas</w:t>
      </w:r>
    </w:p>
    <w:p>
      <w:pPr>
        <w:pStyle w:val="Normal"/>
        <w:autoSpaceDE w:val="false"/>
        <w:spacing w:lineRule="atLeast" w:line="240"/>
        <w:rPr>
          <w:color w:val="000000"/>
        </w:rPr>
      </w:pPr>
      <w:r>
        <w:rPr>
          <w:color w:val="000000"/>
        </w:rPr>
        <w:t xml:space="preserve">Hydrocarbon impact (PSH and dissolved TPH and BTEX) to soil and groundwater from a former evaporation impoundment. Remediation and/or removal of impacted (near surface) soil was conducted at the site in 1990 and 1991.  Assessment study conducted in 1994 indicated TPH and BTEX groundwater impact in 1 of 3 monitor wells installed at the site.  Results of a preliminary Risk Assessment conducted in 1996 recommended no further action with respect to TPH and BEX in groundwater.   Production related equipment (owned and operated by others) appears to be a potential source of groundwater impact.  No further action planned by HPL at this time due to condition of 3rd party facilities.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Hughes &amp; Hughes (Dougherty) Dehydrator</w:t>
      </w:r>
    </w:p>
    <w:p>
      <w:pPr>
        <w:pStyle w:val="Normal"/>
        <w:autoSpaceDE w:val="false"/>
        <w:spacing w:lineRule="atLeast" w:line="240"/>
        <w:rPr>
          <w:color w:val="000000"/>
        </w:rPr>
      </w:pPr>
      <w:r>
        <w:rPr>
          <w:color w:val="000000"/>
        </w:rPr>
        <w:t>Bee County, Texas</w:t>
      </w:r>
    </w:p>
    <w:p>
      <w:pPr>
        <w:pStyle w:val="Normal"/>
        <w:rPr>
          <w:color w:val="000000"/>
        </w:rPr>
      </w:pPr>
      <w:r>
        <w:rPr>
          <w:color w:val="000000"/>
        </w:rPr>
        <w:t>Hydrocarbon impact (PSH and dissolved TPH and BTEX) to soil and groundwater from a former evaporation impoundment. Remediation and/or removal of impacted (near surface) soil was conducted at the site in 1990 and 1991.  Assessment study conducted in 1994 indicated TPH and BTEX groundwater impact in 1 monitor well installed.  Production related equipment (owned and operated by others) appears to be a potential source of groundwater impact.  No further action planned by HPL at this time due to condition of 3rd party facilities.</w:t>
      </w:r>
    </w:p>
    <w:p>
      <w:pPr>
        <w:pStyle w:val="Normal"/>
        <w:rPr>
          <w:spacing w:val="-3"/>
        </w:rPr>
      </w:pPr>
      <w:r>
        <w:rPr>
          <w:spacing w:val="-3"/>
        </w:rPr>
      </w:r>
    </w:p>
    <w:p>
      <w:pPr>
        <w:pStyle w:val="Normal"/>
        <w:rPr>
          <w:spacing w:val="-3"/>
        </w:rPr>
      </w:pPr>
      <w:r>
        <w:rPr>
          <w:spacing w:val="-3"/>
        </w:rPr>
      </w:r>
    </w:p>
    <w:p>
      <w:pPr>
        <w:pStyle w:val="Heading3"/>
        <w:ind w:hanging="0" w:start="0"/>
        <w:rPr>
          <w:rFonts w:ascii="Times New Roman" w:hAnsi="Times New Roman" w:cs="Times New Roman"/>
          <w:b w:val="false"/>
          <w:bCs w:val="false"/>
          <w:sz w:val="24"/>
          <w:u w:val="single"/>
        </w:rPr>
      </w:pPr>
      <w:r>
        <w:rPr>
          <w:rFonts w:cs="Times New Roman" w:ascii="Times New Roman" w:hAnsi="Times New Roman"/>
          <w:b w:val="false"/>
          <w:bCs w:val="false"/>
          <w:sz w:val="24"/>
          <w:u w:val="single"/>
        </w:rPr>
        <w:t>Compressor Station Sites</w:t>
      </w:r>
    </w:p>
    <w:p>
      <w:pPr>
        <w:pStyle w:val="Normal"/>
        <w:rPr>
          <w:rFonts w:ascii="Times New Roman" w:hAnsi="Times New Roman" w:cs="Times New Roman"/>
          <w:b/>
          <w:bCs/>
          <w:spacing w:val="-3"/>
          <w:sz w:val="24"/>
          <w:u w:val="single"/>
        </w:rPr>
      </w:pPr>
      <w:r>
        <w:rPr>
          <w:rFonts w:cs="Times New Roman"/>
          <w:b/>
          <w:bCs/>
          <w:spacing w:val="-3"/>
          <w:sz w:val="24"/>
          <w:u w:val="single"/>
        </w:rPr>
      </w:r>
    </w:p>
    <w:p>
      <w:pPr>
        <w:pStyle w:val="Normal"/>
        <w:rPr>
          <w:spacing w:val="-3"/>
        </w:rPr>
      </w:pPr>
      <w:r>
        <w:rPr>
          <w:spacing w:val="-3"/>
        </w:rPr>
        <w:t xml:space="preserve">Odem Compressor Station Site (Compressor equipment owned and operated by Hanover) </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rPr>
          <w:spacing w:val="-3"/>
        </w:rPr>
      </w:pPr>
      <w:r>
        <w:rPr>
          <w:spacing w:val="-3"/>
        </w:rPr>
        <w:t>Caney Compressor Station Site (Compressor equipment owned and operated by Hanover)</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autoSpaceDE w:val="false"/>
        <w:rPr/>
      </w:pPr>
      <w:r>
        <w:rPr/>
        <w:t xml:space="preserve">McMullen Plant and Tilden Compressor Station. </w:t>
      </w:r>
    </w:p>
    <w:p>
      <w:pPr>
        <w:pStyle w:val="Normal"/>
        <w:rPr>
          <w:spacing w:val="-3"/>
        </w:rPr>
      </w:pPr>
      <w:r>
        <w:rPr/>
        <w:t>Minor impact of various constituents as outlined in draft Brown and Caldwell report of November 20, 2000.  Some additional surface hydrocarbon impact at the Tilden Compression Station.</w:t>
      </w:r>
    </w:p>
    <w:p>
      <w:pPr>
        <w:pStyle w:val="Normal"/>
        <w:rPr>
          <w:spacing w:val="-3"/>
        </w:rPr>
      </w:pPr>
      <w:r>
        <w:rPr>
          <w:spacing w:val="-3"/>
        </w:rPr>
      </w:r>
    </w:p>
    <w:p>
      <w:pPr>
        <w:pStyle w:val="Normal"/>
        <w:rPr>
          <w:spacing w:val="-3"/>
        </w:rPr>
      </w:pPr>
      <w:r>
        <w:rPr>
          <w:spacing w:val="-3"/>
        </w:rPr>
        <w:t>Mission Valley Compressor Station (Compressor equipment owned and operated by Hanover)</w:t>
      </w:r>
    </w:p>
    <w:p>
      <w:pPr>
        <w:pStyle w:val="Normal"/>
        <w:rPr>
          <w:spacing w:val="-3"/>
        </w:rPr>
      </w:pPr>
      <w:r>
        <w:rPr>
          <w:spacing w:val="-3"/>
        </w:rPr>
        <w:t xml:space="preserve">An environmental site assessment conducted in 1999 indicated impact (dissolved TPH and BTEX) to soil and groundwater.  Groundwater monitoring wells were installed at this location in August 2000.  Results of sampling and analysis of groundwater indicates no significant impact has occurred. Additional groundwater sampling is planned in December and mid year 2001 to confirm. </w:t>
      </w:r>
    </w:p>
    <w:p>
      <w:pPr>
        <w:pStyle w:val="Normal"/>
        <w:rPr>
          <w:spacing w:val="-3"/>
        </w:rPr>
      </w:pPr>
      <w:r>
        <w:rPr>
          <w:spacing w:val="-3"/>
        </w:rPr>
      </w:r>
    </w:p>
    <w:p>
      <w:pPr>
        <w:pStyle w:val="Normal"/>
        <w:rPr>
          <w:spacing w:val="-3"/>
        </w:rPr>
      </w:pPr>
      <w:r>
        <w:rPr>
          <w:spacing w:val="-3"/>
        </w:rPr>
      </w:r>
    </w:p>
    <w:p>
      <w:pPr>
        <w:pStyle w:val="Heading3"/>
        <w:ind w:hanging="0" w:start="0"/>
        <w:rPr>
          <w:rFonts w:ascii="Times New Roman" w:hAnsi="Times New Roman" w:cs="Times New Roman"/>
          <w:b w:val="false"/>
          <w:bCs w:val="false"/>
          <w:sz w:val="24"/>
          <w:u w:val="single"/>
        </w:rPr>
      </w:pPr>
      <w:r>
        <w:rPr>
          <w:rFonts w:cs="Times New Roman" w:ascii="Times New Roman" w:hAnsi="Times New Roman"/>
          <w:b w:val="false"/>
          <w:bCs w:val="false"/>
          <w:sz w:val="24"/>
          <w:u w:val="single"/>
        </w:rPr>
        <w:t>Pipeline Sites</w:t>
      </w:r>
    </w:p>
    <w:p>
      <w:pPr>
        <w:pStyle w:val="Normal"/>
        <w:rPr>
          <w:rFonts w:ascii="Times New Roman" w:hAnsi="Times New Roman" w:cs="Times New Roman"/>
          <w:b/>
          <w:bCs/>
          <w:spacing w:val="-3"/>
          <w:sz w:val="24"/>
          <w:u w:val="single"/>
        </w:rPr>
      </w:pPr>
      <w:r>
        <w:rPr>
          <w:rFonts w:cs="Times New Roman"/>
          <w:b/>
          <w:bCs/>
          <w:spacing w:val="-3"/>
          <w:sz w:val="24"/>
          <w:u w:val="single"/>
        </w:rPr>
      </w:r>
    </w:p>
    <w:p>
      <w:pPr>
        <w:pStyle w:val="Normal"/>
        <w:rPr>
          <w:spacing w:val="-3"/>
        </w:rPr>
      </w:pPr>
      <w:r>
        <w:rPr>
          <w:spacing w:val="-3"/>
        </w:rPr>
        <w:t>Point Comfort Loop Pipeline Leak Site</w:t>
      </w:r>
    </w:p>
    <w:p>
      <w:pPr>
        <w:pStyle w:val="Normal"/>
        <w:rPr>
          <w:spacing w:val="-3"/>
        </w:rPr>
      </w:pPr>
      <w:r>
        <w:rPr>
          <w:spacing w:val="-3"/>
        </w:rPr>
        <w:t>Soil and possible groundwater impact (TPH and BTEX) from a pipeline leak, which was discovered and repaired in 2000. Groundwater monitoring wells were installed at this location in August 2000. Current estimate to resolve: $30,000 to $50,000.  Preliminary results of groundwater sample analyses indicate that shallow groundwater has been impacted by TPH and BTEX. Additional groundwater sampling and risk assessment is planned for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Mykawa 18” Pipeline Leak Site</w:t>
      </w:r>
    </w:p>
    <w:p>
      <w:pPr>
        <w:pStyle w:val="Normal"/>
        <w:rPr>
          <w:spacing w:val="-3"/>
        </w:rPr>
      </w:pPr>
      <w:r>
        <w:rPr>
          <w:spacing w:val="-3"/>
        </w:rPr>
        <w:t xml:space="preserve">Soil and possible groundwater impact (TPH and BTEX) from a pipeline leak, which was discovered and repaired in 1998. Current plans to install a groundwater monitoring well have been delayed due to right-of-way issues. </w:t>
      </w:r>
    </w:p>
    <w:p>
      <w:pPr>
        <w:pStyle w:val="Normal"/>
        <w:rPr>
          <w:spacing w:val="-3"/>
        </w:rPr>
      </w:pPr>
      <w:r>
        <w:rPr>
          <w:spacing w:val="-3"/>
        </w:rPr>
      </w:r>
    </w:p>
    <w:p>
      <w:pPr>
        <w:pStyle w:val="Normal"/>
        <w:rPr>
          <w:spacing w:val="-3"/>
          <w:u w:val="single"/>
        </w:rPr>
      </w:pPr>
      <w:r>
        <w:rPr>
          <w:spacing w:val="-3"/>
          <w:u w:val="single"/>
        </w:rPr>
        <w:t>Other:</w:t>
      </w:r>
    </w:p>
    <w:p>
      <w:pPr>
        <w:pStyle w:val="Normal"/>
        <w:rPr/>
      </w:pPr>
      <w:r>
        <w:rPr/>
        <w:t>Texaco/Kaiser Francis field compression site in the Bammel Storage Field (SW corner of the @ 1,000 acres)</w:t>
      </w:r>
    </w:p>
    <w:p>
      <w:pPr>
        <w:pStyle w:val="Normal"/>
        <w:autoSpaceDE w:val="false"/>
        <w:rPr>
          <w:rFonts w:ascii="CG Times 12pt;Times New Roman" w:hAnsi="CG Times 12pt;Times New Roman" w:cs="CG Times 12pt;Times New Roman"/>
          <w:spacing w:val="-3"/>
        </w:rPr>
      </w:pPr>
      <w:r>
        <w:rPr/>
        <w:t>Potential contamination from surface compression operations of lease operator.  Surface staining from hydrocarbons observed.  Extent and nature of impact, if any, unknown.</w:t>
      </w:r>
      <w:r>
        <w:br w:type="page"/>
      </w:r>
    </w:p>
    <w:p>
      <w:pPr>
        <w:pStyle w:val="Normal"/>
        <w:tabs>
          <w:tab w:val="clear" w:pos="720"/>
          <w:tab w:val="left" w:pos="-720" w:leader="none"/>
          <w:tab w:val="left" w:pos="0" w:leader="none"/>
        </w:tabs>
        <w:suppressAutoHyphens w:val="true"/>
        <w:ind w:hanging="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jc w:val="center"/>
        <w:rPr/>
      </w:pPr>
      <w:r>
        <w:rPr/>
        <w:t>PURCHASE AND SALE AGREEMENT</w:t>
      </w:r>
    </w:p>
    <w:p>
      <w:pPr>
        <w:pStyle w:val="Normal"/>
        <w:jc w:val="center"/>
        <w:rPr/>
      </w:pPr>
      <w:r>
        <w:rPr/>
      </w:r>
    </w:p>
    <w:p>
      <w:pPr>
        <w:pStyle w:val="Normal"/>
        <w:jc w:val="center"/>
        <w:rPr/>
      </w:pPr>
      <w:r>
        <w:rPr/>
        <w:t>Schedule 4.15(b)</w:t>
      </w:r>
    </w:p>
    <w:p>
      <w:pPr>
        <w:pStyle w:val="Normal"/>
        <w:jc w:val="center"/>
        <w:rPr>
          <w:spacing w:val="-3"/>
        </w:rPr>
      </w:pPr>
      <w:r>
        <w:rPr/>
        <w:t xml:space="preserve">Environmental </w:t>
      </w:r>
      <w:r>
        <w:rPr>
          <w:rFonts w:cs="CG Times 12pt;Times New Roman" w:ascii="CG Times 12pt;Times New Roman" w:hAnsi="CG Times 12pt;Times New Roman"/>
          <w:bCs/>
          <w:spacing w:val="-3"/>
        </w:rPr>
        <w:t>Permits</w:t>
      </w:r>
    </w:p>
    <w:p>
      <w:pPr>
        <w:pStyle w:val="Normal"/>
        <w:rPr>
          <w:rFonts w:ascii="CG Times 12pt;Times New Roman" w:hAnsi="CG Times 12pt;Times New Roman" w:cs="CG Times 12pt;Times New Roman"/>
          <w:bCs/>
          <w:spacing w:val="-3"/>
        </w:rPr>
      </w:pPr>
      <w:r>
        <w:rPr>
          <w:rFonts w:cs="CG Times 12pt;Times New Roman" w:ascii="CG Times 12pt;Times New Roman" w:hAnsi="CG Times 12pt;Times New Roman"/>
          <w:bCs/>
          <w:spacing w:val="-3"/>
        </w:rPr>
      </w:r>
    </w:p>
    <w:p>
      <w:pPr>
        <w:pStyle w:val="Normal"/>
        <w:rPr>
          <w:b/>
          <w:bCs/>
        </w:rPr>
      </w:pPr>
      <w:r>
        <w:rPr>
          <w:b/>
          <w:bCs/>
        </w:rPr>
        <w:t>Bammel Gas Storage Facility</w:t>
      </w:r>
    </w:p>
    <w:p>
      <w:pPr>
        <w:pStyle w:val="Normal"/>
        <w:rPr>
          <w:b/>
          <w:bCs/>
          <w:i/>
          <w:i/>
          <w:iCs/>
        </w:rPr>
      </w:pPr>
      <w:r>
        <w:rPr>
          <w:b/>
          <w:bCs/>
          <w:i/>
          <w:iCs/>
        </w:rPr>
        <w:t>Air Authorizations:</w:t>
      </w:r>
    </w:p>
    <w:p>
      <w:pPr>
        <w:pStyle w:val="Normal"/>
        <w:numPr>
          <w:ilvl w:val="0"/>
          <w:numId w:val="19"/>
        </w:numPr>
        <w:rPr/>
      </w:pPr>
      <w:r>
        <w:rPr/>
        <w:t>State Air Permit/PSD No. R-8345/PSE-TX-313 (Renewal Issued 4/26/99, Expires 4/26/09);</w:t>
      </w:r>
    </w:p>
    <w:p>
      <w:pPr>
        <w:pStyle w:val="Normal"/>
        <w:numPr>
          <w:ilvl w:val="0"/>
          <w:numId w:val="19"/>
        </w:numPr>
        <w:rPr/>
      </w:pPr>
      <w:r>
        <w:rPr/>
        <w:t>Title V Permit No. O-00117 (Issued 3/8/00, Expires 3/8/05);</w:t>
      </w:r>
    </w:p>
    <w:p>
      <w:pPr>
        <w:pStyle w:val="Normal"/>
        <w:numPr>
          <w:ilvl w:val="0"/>
          <w:numId w:val="19"/>
        </w:numPr>
        <w:rPr/>
      </w:pPr>
      <w:r>
        <w:rPr/>
        <w:t>Standard Permit No. 26944 for East Dehydrator Flares (Issued 12/1/94);</w:t>
      </w:r>
    </w:p>
    <w:p>
      <w:pPr>
        <w:pStyle w:val="Normal"/>
        <w:numPr>
          <w:ilvl w:val="0"/>
          <w:numId w:val="19"/>
        </w:numPr>
        <w:rPr/>
      </w:pPr>
      <w:r>
        <w:rPr/>
        <w:t>Standard Permit No. 28750 for South Dehydrator Flares (Issued 1/27/95);</w:t>
      </w:r>
    </w:p>
    <w:p>
      <w:pPr>
        <w:pStyle w:val="Normal"/>
        <w:numPr>
          <w:ilvl w:val="0"/>
          <w:numId w:val="19"/>
        </w:numPr>
        <w:rPr/>
      </w:pPr>
      <w:r>
        <w:rPr/>
        <w:t>Standard Permit No. 27851 for West Dehydrator Flares (Issued 1/27/95);</w:t>
      </w:r>
    </w:p>
    <w:p>
      <w:pPr>
        <w:pStyle w:val="Normal"/>
        <w:numPr>
          <w:ilvl w:val="0"/>
          <w:numId w:val="19"/>
        </w:numPr>
        <w:rPr/>
      </w:pPr>
      <w:r>
        <w:rPr/>
        <w:t>Standard Permit No. 27852 for South Bammel Dehydrator Flare (Issued 1/27/95);</w:t>
      </w:r>
    </w:p>
    <w:p>
      <w:pPr>
        <w:pStyle w:val="Normal"/>
        <w:numPr>
          <w:ilvl w:val="0"/>
          <w:numId w:val="19"/>
        </w:numPr>
        <w:rPr/>
      </w:pPr>
      <w:r>
        <w:rPr/>
        <w:t>Standard Exemption X-15788 for Four Engines (Issued 9/84);</w:t>
      </w:r>
    </w:p>
    <w:p>
      <w:pPr>
        <w:pStyle w:val="Normal"/>
        <w:numPr>
          <w:ilvl w:val="0"/>
          <w:numId w:val="19"/>
        </w:numPr>
        <w:rPr/>
      </w:pPr>
      <w:r>
        <w:rPr/>
        <w:t>Standard Exemption X-11272 for Three Engines (Issued 1/80); and</w:t>
      </w:r>
    </w:p>
    <w:p>
      <w:pPr>
        <w:pStyle w:val="Normal"/>
        <w:numPr>
          <w:ilvl w:val="0"/>
          <w:numId w:val="19"/>
        </w:numPr>
        <w:rPr/>
      </w:pPr>
      <w:r>
        <w:rPr/>
        <w:t>Grandfathered Source Registration for Four Engines.</w:t>
      </w:r>
    </w:p>
    <w:p>
      <w:pPr>
        <w:pStyle w:val="Normal"/>
        <w:rPr/>
      </w:pPr>
      <w:r>
        <w:rPr/>
      </w:r>
    </w:p>
    <w:p>
      <w:pPr>
        <w:pStyle w:val="Normal"/>
        <w:rPr>
          <w:b/>
          <w:bCs/>
        </w:rPr>
      </w:pPr>
      <w:r>
        <w:rPr>
          <w:b/>
          <w:bCs/>
        </w:rPr>
        <w:t>Three Rivers Plant</w:t>
      </w:r>
    </w:p>
    <w:p>
      <w:pPr>
        <w:pStyle w:val="Normal"/>
        <w:rPr>
          <w:b/>
          <w:bCs/>
          <w:i/>
          <w:i/>
          <w:iCs/>
        </w:rPr>
      </w:pPr>
      <w:r>
        <w:rPr>
          <w:b/>
          <w:bCs/>
          <w:i/>
          <w:iCs/>
        </w:rPr>
        <w:t>Air Authorizations:</w:t>
      </w:r>
    </w:p>
    <w:p>
      <w:pPr>
        <w:pStyle w:val="Normal"/>
        <w:numPr>
          <w:ilvl w:val="0"/>
          <w:numId w:val="9"/>
        </w:numPr>
        <w:rPr/>
      </w:pPr>
      <w:r>
        <w:rPr/>
        <w:t>Title V Permit No. O-00208 (Issued 6/2/98, Expires 6/2/03);</w:t>
      </w:r>
    </w:p>
    <w:p>
      <w:pPr>
        <w:pStyle w:val="Normal"/>
        <w:numPr>
          <w:ilvl w:val="0"/>
          <w:numId w:val="9"/>
        </w:numPr>
        <w:rPr/>
      </w:pPr>
      <w:r>
        <w:rPr/>
        <w:t>Standard Permit No. 37568 (Issued 3/5/98);</w:t>
      </w:r>
    </w:p>
    <w:p>
      <w:pPr>
        <w:pStyle w:val="Normal"/>
        <w:numPr>
          <w:ilvl w:val="0"/>
          <w:numId w:val="9"/>
        </w:numPr>
        <w:rPr/>
      </w:pPr>
      <w:r>
        <w:rPr/>
        <w:t>Standard Exemption Registration No. 33872 (Issued 11/11/96);</w:t>
      </w:r>
    </w:p>
    <w:p>
      <w:pPr>
        <w:pStyle w:val="Normal"/>
        <w:numPr>
          <w:ilvl w:val="0"/>
          <w:numId w:val="9"/>
        </w:numPr>
        <w:rPr/>
      </w:pPr>
      <w:r>
        <w:rPr/>
        <w:t>Standard Exemption X-21446 (Issued 3/30/92);</w:t>
      </w:r>
    </w:p>
    <w:p>
      <w:pPr>
        <w:pStyle w:val="Normal"/>
        <w:numPr>
          <w:ilvl w:val="0"/>
          <w:numId w:val="9"/>
        </w:numPr>
        <w:rPr/>
      </w:pPr>
      <w:r>
        <w:rPr/>
        <w:t>Standard Exemption Letter (Issued 7/25/90); and</w:t>
      </w:r>
    </w:p>
    <w:p>
      <w:pPr>
        <w:pStyle w:val="Normal"/>
        <w:numPr>
          <w:ilvl w:val="0"/>
          <w:numId w:val="9"/>
        </w:numPr>
        <w:rPr/>
      </w:pPr>
      <w:r>
        <w:rPr/>
        <w:t>Standard Exemption Letter (Issued 8/17/88).</w:t>
      </w:r>
    </w:p>
    <w:p>
      <w:pPr>
        <w:pStyle w:val="Normal"/>
        <w:rPr/>
      </w:pPr>
      <w:r>
        <w:rPr/>
      </w:r>
    </w:p>
    <w:p>
      <w:pPr>
        <w:pStyle w:val="Normal"/>
        <w:rPr>
          <w:b/>
          <w:bCs/>
        </w:rPr>
      </w:pPr>
      <w:r>
        <w:rPr>
          <w:b/>
          <w:bCs/>
        </w:rPr>
        <w:t>Edna Warehouse</w:t>
      </w:r>
    </w:p>
    <w:p>
      <w:pPr>
        <w:pStyle w:val="Normal"/>
        <w:rPr>
          <w:b/>
          <w:bCs/>
          <w:i/>
          <w:i/>
          <w:iCs/>
        </w:rPr>
      </w:pPr>
      <w:r>
        <w:rPr>
          <w:b/>
          <w:bCs/>
          <w:i/>
          <w:iCs/>
        </w:rPr>
        <w:t>Air Authorizations:</w:t>
      </w:r>
    </w:p>
    <w:p>
      <w:pPr>
        <w:pStyle w:val="Normal"/>
        <w:numPr>
          <w:ilvl w:val="0"/>
          <w:numId w:val="4"/>
        </w:numPr>
        <w:rPr/>
      </w:pPr>
      <w:r>
        <w:rPr/>
        <w:t>Standard Exemption Letter for Solid Waste Incinerator (Issued 3/11/92).</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4.16</w:t>
      </w:r>
    </w:p>
    <w:p>
      <w:pPr>
        <w:pStyle w:val="Normal"/>
        <w:jc w:val="center"/>
        <w:rPr/>
      </w:pPr>
      <w:r>
        <w:rPr/>
        <w:t>Summary of Insurance</w:t>
      </w:r>
    </w:p>
    <w:p>
      <w:pPr>
        <w:pStyle w:val="Normal"/>
        <w:jc w:val="center"/>
        <w:rPr/>
      </w:pPr>
      <w:r>
        <w:rPr/>
      </w:r>
    </w:p>
    <w:p>
      <w:pPr>
        <w:pStyle w:val="Normal"/>
        <w:jc w:val="center"/>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rHeight w:val="315" w:hRule="atLeast"/>
        </w:trPr>
        <w:tc>
          <w:tcPr>
            <w:tcW w:w="3564" w:type="dxa"/>
            <w:tcBorders/>
          </w:tcPr>
          <w:p>
            <w:pPr>
              <w:pStyle w:val="Normal"/>
              <w:widowControl w:val="false"/>
              <w:autoSpaceDE w:val="false"/>
              <w:rPr>
                <w:b/>
              </w:rPr>
            </w:pPr>
            <w:r>
              <w:rPr>
                <w:b/>
              </w:rPr>
              <w:t>Excess Liability</w:t>
            </w:r>
          </w:p>
        </w:tc>
        <w:tc>
          <w:tcPr>
            <w:tcW w:w="1980" w:type="dxa"/>
            <w:tcBorders/>
          </w:tcPr>
          <w:p>
            <w:pPr>
              <w:pStyle w:val="Header"/>
              <w:widowControl w:val="false"/>
              <w:tabs>
                <w:tab w:val="clear" w:pos="4680"/>
                <w:tab w:val="clear" w:pos="9360"/>
              </w:tabs>
              <w:autoSpaceDE w:val="false"/>
              <w:snapToGrid w:val="false"/>
              <w:rPr>
                <w:b/>
              </w:rPr>
            </w:pPr>
            <w:r>
              <w:rPr>
                <w:b/>
              </w:rPr>
            </w:r>
          </w:p>
        </w:tc>
        <w:tc>
          <w:tcPr>
            <w:tcW w:w="2430" w:type="dxa"/>
            <w:tcBorders/>
          </w:tcPr>
          <w:p>
            <w:pPr>
              <w:pStyle w:val="Header"/>
              <w:widowControl w:val="false"/>
              <w:tabs>
                <w:tab w:val="clear" w:pos="4680"/>
                <w:tab w:val="clear" w:pos="9360"/>
              </w:tabs>
              <w:autoSpaceDE w:val="false"/>
              <w:snapToGrid w:val="false"/>
              <w:rPr/>
            </w:pPr>
            <w:r>
              <w:rPr/>
            </w:r>
          </w:p>
        </w:tc>
        <w:tc>
          <w:tcPr>
            <w:tcW w:w="2610" w:type="dxa"/>
            <w:tcBorders/>
          </w:tcPr>
          <w:p>
            <w:pPr>
              <w:pStyle w:val="Header"/>
              <w:widowControl w:val="false"/>
              <w:tabs>
                <w:tab w:val="clear" w:pos="4680"/>
                <w:tab w:val="clear" w:pos="9360"/>
              </w:tabs>
              <w:autoSpaceDE w:val="false"/>
              <w:snapToGrid w:val="false"/>
              <w:rPr/>
            </w:pPr>
            <w:r>
              <w:rPr/>
            </w:r>
          </w:p>
        </w:tc>
      </w:tr>
      <w:tr>
        <w:trPr>
          <w:trHeight w:val="315" w:hRule="atLeast"/>
        </w:trPr>
        <w:tc>
          <w:tcPr>
            <w:tcW w:w="3564" w:type="dxa"/>
            <w:tcBorders/>
          </w:tcPr>
          <w:p>
            <w:pPr>
              <w:pStyle w:val="Normal"/>
              <w:widowControl w:val="false"/>
              <w:autoSpaceDE w:val="false"/>
              <w:snapToGrid w:val="false"/>
              <w:rPr>
                <w:b/>
              </w:rPr>
            </w:pPr>
            <w:r>
              <w:rPr>
                <w:b/>
              </w:rPr>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XOO79A1A99</w:t>
            </w:r>
          </w:p>
        </w:tc>
        <w:tc>
          <w:tcPr>
            <w:tcW w:w="2430" w:type="dxa"/>
            <w:tcBorders/>
          </w:tcPr>
          <w:p>
            <w:pPr>
              <w:pStyle w:val="Normal"/>
              <w:widowControl w:val="false"/>
              <w:autoSpaceDE w:val="false"/>
              <w:rPr/>
            </w:pPr>
            <w:r>
              <w:rPr/>
              <w:t>$35mm occ &amp; agg</w:t>
            </w:r>
          </w:p>
        </w:tc>
        <w:tc>
          <w:tcPr>
            <w:tcW w:w="2610" w:type="dxa"/>
            <w:tcBorders/>
          </w:tcPr>
          <w:p>
            <w:pPr>
              <w:pStyle w:val="Normal"/>
              <w:widowControl w:val="false"/>
              <w:autoSpaceDE w:val="false"/>
              <w:rPr/>
            </w:pPr>
            <w:r>
              <w:rPr/>
              <w:t>4/21/99-03</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50101900GL</w:t>
            </w:r>
          </w:p>
        </w:tc>
        <w:tc>
          <w:tcPr>
            <w:tcW w:w="2430" w:type="dxa"/>
            <w:tcBorders/>
          </w:tcPr>
          <w:p>
            <w:pPr>
              <w:pStyle w:val="Normal"/>
              <w:widowControl w:val="false"/>
              <w:autoSpaceDE w:val="false"/>
              <w:rPr/>
            </w:pPr>
            <w:r>
              <w:rPr/>
              <w:t>$100mm agg xs of $35mm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LE0029962</w:t>
            </w:r>
          </w:p>
        </w:tc>
        <w:tc>
          <w:tcPr>
            <w:tcW w:w="2430" w:type="dxa"/>
            <w:tcBorders/>
          </w:tcPr>
          <w:p>
            <w:pPr>
              <w:pStyle w:val="Normal"/>
              <w:widowControl w:val="false"/>
              <w:autoSpaceDE w:val="false"/>
              <w:rPr/>
            </w:pPr>
            <w:r>
              <w:rPr/>
              <w:t>$200mm agg xs of $135mm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LE0029963</w:t>
            </w:r>
          </w:p>
        </w:tc>
        <w:tc>
          <w:tcPr>
            <w:tcW w:w="2430" w:type="dxa"/>
            <w:tcBorders/>
          </w:tcPr>
          <w:p>
            <w:pPr>
              <w:pStyle w:val="Normal"/>
              <w:widowControl w:val="false"/>
              <w:autoSpaceDE w:val="false"/>
              <w:rPr/>
            </w:pPr>
            <w:r>
              <w:rPr/>
              <w:t>$25mm agg xs of $335mm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Kemper Ins. Company</w:t>
            </w:r>
          </w:p>
        </w:tc>
        <w:tc>
          <w:tcPr>
            <w:tcW w:w="1980" w:type="dxa"/>
            <w:tcBorders/>
          </w:tcPr>
          <w:p>
            <w:pPr>
              <w:pStyle w:val="Normal"/>
              <w:widowControl w:val="false"/>
              <w:autoSpaceDE w:val="false"/>
              <w:rPr/>
            </w:pPr>
            <w:r>
              <w:rPr/>
              <w:t>9SR131340-00</w:t>
            </w:r>
          </w:p>
        </w:tc>
        <w:tc>
          <w:tcPr>
            <w:tcW w:w="2430" w:type="dxa"/>
            <w:tcBorders/>
          </w:tcPr>
          <w:p>
            <w:pPr>
              <w:pStyle w:val="Normal"/>
              <w:widowControl w:val="false"/>
              <w:autoSpaceDE w:val="false"/>
              <w:rPr/>
            </w:pPr>
            <w:r>
              <w:rPr/>
              <w:t>$50mm agg xs of $360mm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Bermuda</w:t>
            </w:r>
          </w:p>
        </w:tc>
        <w:tc>
          <w:tcPr>
            <w:tcW w:w="1980" w:type="dxa"/>
            <w:tcBorders/>
          </w:tcPr>
          <w:p>
            <w:pPr>
              <w:pStyle w:val="Normal"/>
              <w:widowControl w:val="false"/>
              <w:autoSpaceDE w:val="false"/>
              <w:rPr/>
            </w:pPr>
            <w:r>
              <w:rPr/>
              <w:t>TBA</w:t>
            </w:r>
          </w:p>
        </w:tc>
        <w:tc>
          <w:tcPr>
            <w:tcW w:w="2430" w:type="dxa"/>
            <w:tcBorders/>
          </w:tcPr>
          <w:p>
            <w:pPr>
              <w:pStyle w:val="Normal"/>
              <w:widowControl w:val="false"/>
              <w:autoSpaceDE w:val="false"/>
              <w:rPr/>
            </w:pPr>
            <w:r>
              <w:rPr/>
              <w:t>$440mm agg xs of $410mm</w:t>
            </w:r>
          </w:p>
        </w:tc>
        <w:tc>
          <w:tcPr>
            <w:tcW w:w="2610" w:type="dxa"/>
            <w:tcBorders/>
          </w:tcPr>
          <w:p>
            <w:pPr>
              <w:pStyle w:val="Normal"/>
              <w:widowControl w:val="false"/>
              <w:autoSpaceDE w:val="false"/>
              <w:rPr/>
            </w:pPr>
            <w:r>
              <w:rPr/>
              <w:t>4/21/00-01</w:t>
            </w:r>
          </w:p>
        </w:tc>
      </w:tr>
      <w:tr>
        <w:trPr>
          <w:trHeight w:val="315" w:hRule="atLeast"/>
        </w:trPr>
        <w:tc>
          <w:tcPr>
            <w:tcW w:w="3564" w:type="dxa"/>
            <w:tcBorders/>
          </w:tcPr>
          <w:p>
            <w:pPr>
              <w:pStyle w:val="Normal"/>
              <w:widowControl w:val="false"/>
              <w:autoSpaceDE w:val="false"/>
              <w:rPr/>
            </w:pPr>
            <w:r>
              <w:rPr/>
              <w:t xml:space="preserve">    </w:t>
            </w:r>
            <w:r>
              <w:rPr/>
              <w:t>XL Ins. Co. ($140mm)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Ace Bermuda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 xml:space="preserve">   </w:t>
            </w:r>
            <w:r>
              <w:rPr/>
              <w:t>Starr Excess Int'l Ltd. ($100mm)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er"/>
              <w:widowControl w:val="false"/>
              <w:tabs>
                <w:tab w:val="clear" w:pos="4680"/>
                <w:tab w:val="clear" w:pos="9360"/>
              </w:tabs>
              <w:autoSpaceDE w:val="false"/>
              <w:rPr/>
            </w:pPr>
            <w:r>
              <w:rPr/>
              <w:t xml:space="preserve">   </w:t>
            </w:r>
            <w:r>
              <w:rPr/>
              <w:t xml:space="preserve">Zurich Global Energy Ltd. </w:t>
              <w:tab/>
              <w:t>($100mm)</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Property</w:t>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b/>
              </w:rPr>
            </w:pPr>
            <w:r>
              <w:rPr>
                <w:b/>
              </w:rPr>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Lloyd's of London  (60%)</w:t>
            </w:r>
          </w:p>
        </w:tc>
        <w:tc>
          <w:tcPr>
            <w:tcW w:w="1980" w:type="dxa"/>
            <w:tcBorders/>
          </w:tcPr>
          <w:p>
            <w:pPr>
              <w:pStyle w:val="Normal"/>
              <w:widowControl w:val="false"/>
              <w:autoSpaceDE w:val="false"/>
              <w:rPr/>
            </w:pPr>
            <w:r>
              <w:rPr/>
              <w:t>LU0028583</w:t>
            </w:r>
          </w:p>
        </w:tc>
        <w:tc>
          <w:tcPr>
            <w:tcW w:w="2430" w:type="dxa"/>
            <w:tcBorders/>
          </w:tcPr>
          <w:p>
            <w:pPr>
              <w:pStyle w:val="Normal"/>
              <w:widowControl w:val="false"/>
              <w:autoSpaceDE w:val="false"/>
              <w:rPr/>
            </w:pPr>
            <w:r>
              <w:rPr/>
              <w:t>$150mm per occ</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Swiss Re  (20%)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 xml:space="preserve">$150mm agg for </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Great Lakes Reinsurance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Flood &amp; Eq. Except CA</w:t>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(10%)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rPr/>
            </w:pPr>
            <w:r>
              <w:rPr/>
              <w:t>EQ $50mm agg</w:t>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Property (Excess Layer)</w:t>
            </w:r>
          </w:p>
        </w:tc>
        <w:tc>
          <w:tcPr>
            <w:tcW w:w="1980" w:type="dxa"/>
            <w:tcBorders/>
          </w:tcPr>
          <w:p>
            <w:pPr>
              <w:pStyle w:val="Normal"/>
              <w:widowControl w:val="false"/>
              <w:autoSpaceDE w:val="false"/>
              <w:rPr/>
            </w:pPr>
            <w:r>
              <w:rPr/>
              <w:t>LU0028579</w:t>
            </w:r>
          </w:p>
        </w:tc>
        <w:tc>
          <w:tcPr>
            <w:tcW w:w="2430" w:type="dxa"/>
            <w:tcBorders/>
          </w:tcPr>
          <w:p>
            <w:pPr>
              <w:pStyle w:val="Normal"/>
              <w:widowControl w:val="false"/>
              <w:autoSpaceDE w:val="false"/>
              <w:rPr/>
            </w:pPr>
            <w:r>
              <w:rPr/>
              <w:t>$600mm Onshore</w:t>
            </w:r>
          </w:p>
        </w:tc>
        <w:tc>
          <w:tcPr>
            <w:tcW w:w="2610" w:type="dxa"/>
            <w:tcBorders/>
          </w:tcPr>
          <w:p>
            <w:pPr>
              <w:pStyle w:val="Normal"/>
              <w:widowControl w:val="false"/>
              <w:autoSpaceDE w:val="false"/>
              <w:rPr/>
            </w:pPr>
            <w:r>
              <w:rPr/>
              <w:t>3/1/00-01</w:t>
            </w:r>
          </w:p>
        </w:tc>
      </w:tr>
      <w:tr>
        <w:trPr>
          <w:trHeight w:val="315" w:hRule="atLeast"/>
        </w:trPr>
        <w:tc>
          <w:tcPr>
            <w:tcW w:w="3564" w:type="dxa"/>
            <w:tcBorders/>
          </w:tcPr>
          <w:p>
            <w:pPr>
              <w:pStyle w:val="Normal"/>
              <w:widowControl w:val="false"/>
              <w:autoSpaceDE w:val="false"/>
              <w:rPr/>
            </w:pPr>
            <w:r>
              <w:rPr/>
              <w:t>Lloyd's of London  (65%)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Harrington International Ins. Ltd. (30%)</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pPr>
            <w:r>
              <w:rPr/>
              <w:t>Houston Casualty Co.  (5%)</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bl>
    <w:p>
      <w:pPr>
        <w:pStyle w:val="Normal"/>
        <w:jc w:val="center"/>
        <w:rPr/>
      </w:pPr>
      <w:r>
        <w:br w:type="page"/>
      </w:r>
      <w:r>
        <w:rPr/>
        <w:t>PURCHASE AND SALE AGREEMENT</w:t>
      </w:r>
    </w:p>
    <w:p>
      <w:pPr>
        <w:pStyle w:val="Normal"/>
        <w:jc w:val="center"/>
        <w:rPr/>
      </w:pPr>
      <w:r>
        <w:rPr/>
      </w:r>
    </w:p>
    <w:p>
      <w:pPr>
        <w:pStyle w:val="Normal"/>
        <w:jc w:val="center"/>
        <w:rPr/>
      </w:pPr>
      <w:r>
        <w:rPr/>
        <w:t>Schedule 4.16</w:t>
      </w:r>
    </w:p>
    <w:p>
      <w:pPr>
        <w:pStyle w:val="Normal"/>
        <w:jc w:val="center"/>
        <w:rPr/>
      </w:pPr>
      <w:r>
        <w:rPr/>
        <w:t>Summary of Insurance, continued (page 2)</w:t>
      </w:r>
    </w:p>
    <w:p>
      <w:pPr>
        <w:pStyle w:val="Normal"/>
        <w:rPr/>
      </w:pPr>
      <w:r>
        <w:rPr/>
      </w:r>
    </w:p>
    <w:tbl>
      <w:tblPr>
        <w:tblW w:w="10584" w:type="dxa"/>
        <w:jc w:val="start"/>
        <w:tblInd w:w="0" w:type="dxa"/>
        <w:tblLayout w:type="fixed"/>
        <w:tblCellMar>
          <w:top w:w="0" w:type="dxa"/>
          <w:start w:w="54" w:type="dxa"/>
          <w:bottom w:w="0" w:type="dxa"/>
          <w:end w:w="54" w:type="dxa"/>
        </w:tblCellMar>
      </w:tblPr>
      <w:tblGrid>
        <w:gridCol w:w="3564"/>
        <w:gridCol w:w="1980"/>
        <w:gridCol w:w="2430"/>
        <w:gridCol w:w="2610"/>
      </w:tblGrid>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rPr>
            </w:pPr>
            <w:r>
              <w:rPr>
                <w:b/>
              </w:rPr>
              <w:t>Directors &amp; Officers Liability</w:t>
            </w:r>
          </w:p>
        </w:tc>
        <w:tc>
          <w:tcPr>
            <w:tcW w:w="1980" w:type="dxa"/>
            <w:tcBorders/>
          </w:tcPr>
          <w:p>
            <w:pPr>
              <w:pStyle w:val="Normal"/>
              <w:widowControl w:val="false"/>
              <w:autoSpaceDE w:val="false"/>
              <w:snapToGrid w:val="false"/>
              <w:rPr>
                <w:b/>
              </w:rPr>
            </w:pPr>
            <w:r>
              <w:rPr>
                <w:b/>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(D&amp;O)</w:t>
            </w:r>
          </w:p>
        </w:tc>
        <w:tc>
          <w:tcPr>
            <w:tcW w:w="1980" w:type="dxa"/>
            <w:tcBorders/>
          </w:tcPr>
          <w:p>
            <w:pPr>
              <w:pStyle w:val="Normal"/>
              <w:widowControl w:val="false"/>
              <w:autoSpaceDE w:val="false"/>
              <w:rPr/>
            </w:pPr>
            <w:r>
              <w:rPr/>
              <w:t>D0079A1A98</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AEGIS Insurance Services (GPL)</w:t>
            </w:r>
          </w:p>
        </w:tc>
        <w:tc>
          <w:tcPr>
            <w:tcW w:w="1980" w:type="dxa"/>
            <w:tcBorders/>
          </w:tcPr>
          <w:p>
            <w:pPr>
              <w:pStyle w:val="Normal"/>
              <w:widowControl w:val="false"/>
              <w:autoSpaceDE w:val="false"/>
              <w:rPr/>
            </w:pPr>
            <w:r>
              <w:rPr/>
              <w:t>P051A1A98</w:t>
            </w:r>
          </w:p>
        </w:tc>
        <w:tc>
          <w:tcPr>
            <w:tcW w:w="2430" w:type="dxa"/>
            <w:tcBorders/>
          </w:tcPr>
          <w:p>
            <w:pPr>
              <w:pStyle w:val="Normal"/>
              <w:widowControl w:val="false"/>
              <w:autoSpaceDE w:val="false"/>
              <w:rPr/>
            </w:pPr>
            <w:r>
              <w:rPr/>
              <w:t xml:space="preserve">$35mm agg </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90047798DO</w:t>
            </w:r>
          </w:p>
        </w:tc>
        <w:tc>
          <w:tcPr>
            <w:tcW w:w="2430" w:type="dxa"/>
            <w:tcBorders/>
          </w:tcPr>
          <w:p>
            <w:pPr>
              <w:pStyle w:val="Normal"/>
              <w:widowControl w:val="false"/>
              <w:autoSpaceDE w:val="false"/>
              <w:rPr/>
            </w:pPr>
            <w:r>
              <w:rPr/>
              <w:t>$65mm agg xs of $35mm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8142-0547</w:t>
            </w:r>
          </w:p>
        </w:tc>
        <w:tc>
          <w:tcPr>
            <w:tcW w:w="2430" w:type="dxa"/>
            <w:tcBorders/>
          </w:tcPr>
          <w:p>
            <w:pPr>
              <w:pStyle w:val="Normal"/>
              <w:widowControl w:val="false"/>
              <w:autoSpaceDE w:val="false"/>
              <w:rPr/>
            </w:pPr>
            <w:r>
              <w:rPr/>
              <w:t>$25mm agg xs of $100mm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Reliance</w:t>
            </w:r>
          </w:p>
        </w:tc>
        <w:tc>
          <w:tcPr>
            <w:tcW w:w="1980" w:type="dxa"/>
            <w:tcBorders/>
          </w:tcPr>
          <w:p>
            <w:pPr>
              <w:pStyle w:val="Normal"/>
              <w:widowControl w:val="false"/>
              <w:autoSpaceDE w:val="false"/>
              <w:rPr/>
            </w:pPr>
            <w:r>
              <w:rPr/>
              <w:t>NDA013130198</w:t>
            </w:r>
          </w:p>
        </w:tc>
        <w:tc>
          <w:tcPr>
            <w:tcW w:w="2430" w:type="dxa"/>
            <w:tcBorders/>
          </w:tcPr>
          <w:p>
            <w:pPr>
              <w:pStyle w:val="Normal"/>
              <w:widowControl w:val="false"/>
              <w:autoSpaceDE w:val="false"/>
              <w:rPr/>
            </w:pPr>
            <w:r>
              <w:rPr/>
              <w:t>$25mm agg xs of $125mm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Executive Risk</w:t>
            </w:r>
          </w:p>
        </w:tc>
        <w:tc>
          <w:tcPr>
            <w:tcW w:w="1980" w:type="dxa"/>
            <w:tcBorders/>
          </w:tcPr>
          <w:p>
            <w:pPr>
              <w:pStyle w:val="Normal"/>
              <w:widowControl w:val="false"/>
              <w:autoSpaceDE w:val="false"/>
              <w:rPr/>
            </w:pPr>
            <w:r>
              <w:rPr/>
              <w:t>75213995598</w:t>
            </w:r>
          </w:p>
        </w:tc>
        <w:tc>
          <w:tcPr>
            <w:tcW w:w="2430" w:type="dxa"/>
            <w:tcBorders/>
          </w:tcPr>
          <w:p>
            <w:pPr>
              <w:pStyle w:val="Normal"/>
              <w:widowControl w:val="false"/>
              <w:autoSpaceDE w:val="false"/>
              <w:rPr/>
            </w:pPr>
            <w:r>
              <w:rPr/>
              <w:t>$25mm agg xs of $150mm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Lloyds of London</w:t>
            </w:r>
          </w:p>
        </w:tc>
        <w:tc>
          <w:tcPr>
            <w:tcW w:w="1980" w:type="dxa"/>
            <w:tcBorders/>
          </w:tcPr>
          <w:p>
            <w:pPr>
              <w:pStyle w:val="Normal"/>
              <w:widowControl w:val="false"/>
              <w:autoSpaceDE w:val="false"/>
              <w:rPr/>
            </w:pPr>
            <w:r>
              <w:rPr/>
              <w:t>901LK9802531</w:t>
            </w:r>
          </w:p>
        </w:tc>
        <w:tc>
          <w:tcPr>
            <w:tcW w:w="2430" w:type="dxa"/>
            <w:tcBorders/>
          </w:tcPr>
          <w:p>
            <w:pPr>
              <w:pStyle w:val="Normal"/>
              <w:widowControl w:val="false"/>
              <w:autoSpaceDE w:val="false"/>
              <w:rPr/>
            </w:pPr>
            <w:r>
              <w:rPr/>
              <w:t>$25mm agg xs of $175mm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$45mm agg xs of $200mm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Royal Ins. Co.</w:t>
            </w:r>
          </w:p>
        </w:tc>
        <w:tc>
          <w:tcPr>
            <w:tcW w:w="1980" w:type="dxa"/>
            <w:tcBorders/>
          </w:tcPr>
          <w:p>
            <w:pPr>
              <w:pStyle w:val="Normal"/>
              <w:widowControl w:val="false"/>
              <w:autoSpaceDE w:val="false"/>
              <w:rPr/>
            </w:pPr>
            <w:r>
              <w:rPr/>
              <w:t>PSF0006333</w:t>
            </w:r>
          </w:p>
        </w:tc>
        <w:tc>
          <w:tcPr>
            <w:tcW w:w="2430" w:type="dxa"/>
            <w:tcBorders/>
          </w:tcPr>
          <w:p>
            <w:pPr>
              <w:pStyle w:val="Normal"/>
              <w:widowControl w:val="false"/>
              <w:autoSpaceDE w:val="false"/>
              <w:rPr/>
            </w:pPr>
            <w:r>
              <w:rPr/>
              <w:t>$25mm agg xs of $245mm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Federal Ins. Co. (Chubb)</w:t>
            </w:r>
          </w:p>
        </w:tc>
        <w:tc>
          <w:tcPr>
            <w:tcW w:w="1980" w:type="dxa"/>
            <w:tcBorders/>
          </w:tcPr>
          <w:p>
            <w:pPr>
              <w:pStyle w:val="Normal"/>
              <w:widowControl w:val="false"/>
              <w:autoSpaceDE w:val="false"/>
              <w:rPr/>
            </w:pPr>
            <w:r>
              <w:rPr/>
              <w:t>8152-8579</w:t>
            </w:r>
          </w:p>
        </w:tc>
        <w:tc>
          <w:tcPr>
            <w:tcW w:w="2430" w:type="dxa"/>
            <w:tcBorders/>
          </w:tcPr>
          <w:p>
            <w:pPr>
              <w:pStyle w:val="Normal"/>
              <w:widowControl w:val="false"/>
              <w:autoSpaceDE w:val="false"/>
              <w:rPr/>
            </w:pPr>
            <w:r>
              <w:rPr/>
              <w:t>$25mm agg xs of $270mm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rPr/>
            </w:pPr>
            <w:r>
              <w:rPr/>
              <w:t>ACE</w:t>
            </w:r>
          </w:p>
        </w:tc>
        <w:tc>
          <w:tcPr>
            <w:tcW w:w="1980" w:type="dxa"/>
            <w:tcBorders/>
          </w:tcPr>
          <w:p>
            <w:pPr>
              <w:pStyle w:val="Normal"/>
              <w:widowControl w:val="false"/>
              <w:autoSpaceDE w:val="false"/>
              <w:rPr/>
            </w:pPr>
            <w:r>
              <w:rPr/>
              <w:t>ENE8920D</w:t>
            </w:r>
          </w:p>
        </w:tc>
        <w:tc>
          <w:tcPr>
            <w:tcW w:w="2430" w:type="dxa"/>
            <w:tcBorders/>
          </w:tcPr>
          <w:p>
            <w:pPr>
              <w:pStyle w:val="Normal"/>
              <w:widowControl w:val="false"/>
              <w:autoSpaceDE w:val="false"/>
              <w:rPr/>
            </w:pPr>
            <w:r>
              <w:rPr/>
              <w:t>$5mm agg xs of $295mm</w:t>
            </w:r>
          </w:p>
        </w:tc>
        <w:tc>
          <w:tcPr>
            <w:tcW w:w="2610" w:type="dxa"/>
            <w:tcBorders/>
          </w:tcPr>
          <w:p>
            <w:pPr>
              <w:pStyle w:val="Normal"/>
              <w:widowControl w:val="false"/>
              <w:autoSpaceDE w:val="false"/>
              <w:rPr/>
            </w:pPr>
            <w:r>
              <w:rPr/>
              <w:t>9/1/98-01</w:t>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Heading2"/>
              <w:ind w:hanging="0" w:start="0"/>
              <w:rPr/>
            </w:pPr>
            <w:r>
              <w:rPr/>
              <w:t>Fiduciary Liability</w:t>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c>
          <w:tcPr>
            <w:tcW w:w="3564" w:type="dxa"/>
            <w:tcBorders/>
          </w:tcPr>
          <w:p>
            <w:pPr>
              <w:pStyle w:val="Normal"/>
              <w:widowControl w:val="false"/>
              <w:autoSpaceDE w:val="false"/>
              <w:snapToGrid w:val="false"/>
              <w:rPr/>
            </w:pPr>
            <w:r>
              <w:rPr/>
            </w:r>
          </w:p>
        </w:tc>
        <w:tc>
          <w:tcPr>
            <w:tcW w:w="1980" w:type="dxa"/>
            <w:tcBorders/>
          </w:tcPr>
          <w:p>
            <w:pPr>
              <w:pStyle w:val="Normal"/>
              <w:widowControl w:val="false"/>
              <w:autoSpaceDE w:val="false"/>
              <w:snapToGrid w:val="false"/>
              <w:rPr/>
            </w:pPr>
            <w:r>
              <w:rPr/>
            </w:r>
          </w:p>
        </w:tc>
        <w:tc>
          <w:tcPr>
            <w:tcW w:w="2430" w:type="dxa"/>
            <w:tcBorders/>
          </w:tcPr>
          <w:p>
            <w:pPr>
              <w:pStyle w:val="Normal"/>
              <w:widowControl w:val="false"/>
              <w:autoSpaceDE w:val="false"/>
              <w:snapToGrid w:val="false"/>
              <w:rPr/>
            </w:pPr>
            <w:r>
              <w:rPr/>
            </w:r>
          </w:p>
        </w:tc>
        <w:tc>
          <w:tcPr>
            <w:tcW w:w="2610" w:type="dxa"/>
            <w:tcBorders/>
          </w:tcPr>
          <w:p>
            <w:pPr>
              <w:pStyle w:val="Normal"/>
              <w:widowControl w:val="false"/>
              <w:autoSpaceDE w:val="false"/>
              <w:snapToGrid w:val="false"/>
              <w:rPr/>
            </w:pPr>
            <w:r>
              <w:rPr/>
            </w:r>
          </w:p>
        </w:tc>
      </w:tr>
      <w:tr>
        <w:trPr>
          <w:trHeight w:val="315" w:hRule="atLeast"/>
        </w:trPr>
        <w:tc>
          <w:tcPr>
            <w:tcW w:w="3564" w:type="dxa"/>
            <w:tcBorders/>
          </w:tcPr>
          <w:p>
            <w:pPr>
              <w:pStyle w:val="Normal"/>
              <w:widowControl w:val="false"/>
              <w:autoSpaceDE w:val="false"/>
              <w:rPr>
                <w:b/>
                <w:u w:val="single"/>
              </w:rPr>
            </w:pPr>
            <w:r>
              <w:rPr>
                <w:b/>
                <w:u w:val="single"/>
              </w:rPr>
              <w:t>Insurer</w:t>
            </w:r>
          </w:p>
        </w:tc>
        <w:tc>
          <w:tcPr>
            <w:tcW w:w="1980" w:type="dxa"/>
            <w:tcBorders/>
          </w:tcPr>
          <w:p>
            <w:pPr>
              <w:pStyle w:val="Normal"/>
              <w:widowControl w:val="false"/>
              <w:autoSpaceDE w:val="false"/>
              <w:rPr>
                <w:b/>
                <w:u w:val="single"/>
              </w:rPr>
            </w:pPr>
            <w:r>
              <w:rPr>
                <w:b/>
                <w:u w:val="single"/>
              </w:rPr>
              <w:t>Policy Number</w:t>
            </w:r>
          </w:p>
        </w:tc>
        <w:tc>
          <w:tcPr>
            <w:tcW w:w="2430" w:type="dxa"/>
            <w:tcBorders/>
          </w:tcPr>
          <w:p>
            <w:pPr>
              <w:pStyle w:val="Normal"/>
              <w:widowControl w:val="false"/>
              <w:autoSpaceDE w:val="false"/>
              <w:rPr>
                <w:b/>
                <w:u w:val="single"/>
              </w:rPr>
            </w:pPr>
            <w:r>
              <w:rPr>
                <w:b/>
                <w:u w:val="single"/>
              </w:rPr>
              <w:t>Policy Limits</w:t>
            </w:r>
          </w:p>
        </w:tc>
        <w:tc>
          <w:tcPr>
            <w:tcW w:w="2610" w:type="dxa"/>
            <w:tcBorders/>
          </w:tcPr>
          <w:p>
            <w:pPr>
              <w:pStyle w:val="Normal"/>
              <w:widowControl w:val="false"/>
              <w:autoSpaceDE w:val="false"/>
              <w:rPr>
                <w:b/>
                <w:u w:val="single"/>
              </w:rPr>
            </w:pPr>
            <w:r>
              <w:rPr>
                <w:b/>
                <w:u w:val="single"/>
              </w:rPr>
              <w:t>Policy Term</w:t>
            </w:r>
          </w:p>
        </w:tc>
      </w:tr>
      <w:tr>
        <w:trPr>
          <w:trHeight w:val="315" w:hRule="atLeast"/>
        </w:trPr>
        <w:tc>
          <w:tcPr>
            <w:tcW w:w="3564" w:type="dxa"/>
            <w:tcBorders/>
          </w:tcPr>
          <w:p>
            <w:pPr>
              <w:pStyle w:val="Normal"/>
              <w:widowControl w:val="false"/>
              <w:autoSpaceDE w:val="false"/>
              <w:rPr/>
            </w:pPr>
            <w:r>
              <w:rPr/>
              <w:t>AEGIS Insurance Services, Inc.</w:t>
            </w:r>
          </w:p>
        </w:tc>
        <w:tc>
          <w:tcPr>
            <w:tcW w:w="1980" w:type="dxa"/>
            <w:tcBorders/>
          </w:tcPr>
          <w:p>
            <w:pPr>
              <w:pStyle w:val="Normal"/>
              <w:widowControl w:val="false"/>
              <w:autoSpaceDE w:val="false"/>
              <w:rPr/>
            </w:pPr>
            <w:r>
              <w:rPr/>
              <w:t>F0079A1A99</w:t>
            </w:r>
          </w:p>
        </w:tc>
        <w:tc>
          <w:tcPr>
            <w:tcW w:w="2430" w:type="dxa"/>
            <w:tcBorders/>
          </w:tcPr>
          <w:p>
            <w:pPr>
              <w:pStyle w:val="Normal"/>
              <w:widowControl w:val="false"/>
              <w:autoSpaceDE w:val="false"/>
              <w:rPr/>
            </w:pPr>
            <w:r>
              <w:rPr/>
              <w:t>$35mm agg</w:t>
            </w:r>
          </w:p>
        </w:tc>
        <w:tc>
          <w:tcPr>
            <w:tcW w:w="2610" w:type="dxa"/>
            <w:tcBorders/>
          </w:tcPr>
          <w:p>
            <w:pPr>
              <w:pStyle w:val="Normal"/>
              <w:widowControl w:val="false"/>
              <w:autoSpaceDE w:val="false"/>
              <w:rPr/>
            </w:pPr>
            <w:r>
              <w:rPr/>
              <w:t>5/15/99-02</w:t>
            </w:r>
          </w:p>
        </w:tc>
      </w:tr>
      <w:tr>
        <w:trPr>
          <w:trHeight w:val="315" w:hRule="atLeast"/>
        </w:trPr>
        <w:tc>
          <w:tcPr>
            <w:tcW w:w="3564" w:type="dxa"/>
            <w:tcBorders/>
          </w:tcPr>
          <w:p>
            <w:pPr>
              <w:pStyle w:val="Normal"/>
              <w:widowControl w:val="false"/>
              <w:autoSpaceDE w:val="false"/>
              <w:rPr/>
            </w:pPr>
            <w:r>
              <w:rPr/>
              <w:t>Energy Insurance Mutual</w:t>
            </w:r>
          </w:p>
        </w:tc>
        <w:tc>
          <w:tcPr>
            <w:tcW w:w="1980" w:type="dxa"/>
            <w:tcBorders/>
          </w:tcPr>
          <w:p>
            <w:pPr>
              <w:pStyle w:val="Normal"/>
              <w:widowControl w:val="false"/>
              <w:autoSpaceDE w:val="false"/>
              <w:rPr/>
            </w:pPr>
            <w:r>
              <w:rPr/>
              <w:t>8146-4184A</w:t>
            </w:r>
          </w:p>
        </w:tc>
        <w:tc>
          <w:tcPr>
            <w:tcW w:w="2430" w:type="dxa"/>
            <w:tcBorders/>
          </w:tcPr>
          <w:p>
            <w:pPr>
              <w:pStyle w:val="Normal"/>
              <w:widowControl w:val="false"/>
              <w:autoSpaceDE w:val="false"/>
              <w:rPr/>
            </w:pPr>
            <w:r>
              <w:rPr/>
              <w:t>$50mm agg xs of $35mm</w:t>
            </w:r>
          </w:p>
        </w:tc>
        <w:tc>
          <w:tcPr>
            <w:tcW w:w="2610" w:type="dxa"/>
            <w:tcBorders/>
          </w:tcPr>
          <w:p>
            <w:pPr>
              <w:pStyle w:val="Normal"/>
              <w:widowControl w:val="false"/>
              <w:autoSpaceDE w:val="false"/>
              <w:rPr/>
            </w:pPr>
            <w:r>
              <w:rPr/>
              <w:t>5/15/99-02</w:t>
            </w:r>
          </w:p>
        </w:tc>
      </w:tr>
    </w:tbl>
    <w:p>
      <w:pPr>
        <w:pStyle w:val="Normal"/>
        <w:widowControl w:val="false"/>
        <w:autoSpaceDE w:val="false"/>
        <w:rPr>
          <w:sz w:val="20"/>
        </w:rPr>
      </w:pPr>
      <w:r>
        <w:rPr>
          <w:sz w:val="20"/>
        </w:rPr>
      </w:r>
    </w:p>
    <w:p>
      <w:pPr>
        <w:pStyle w:val="Header"/>
        <w:tabs>
          <w:tab w:val="clear" w:pos="4680"/>
          <w:tab w:val="clear" w:pos="9360"/>
        </w:tabs>
        <w:rPr>
          <w:b/>
        </w:rPr>
      </w:pPr>
      <w:r>
        <w:rPr>
          <w:b/>
        </w:rPr>
        <w:t>Insurance by Third Parties</w:t>
      </w:r>
    </w:p>
    <w:p>
      <w:pPr>
        <w:pStyle w:val="Header"/>
        <w:tabs>
          <w:tab w:val="clear" w:pos="4680"/>
          <w:tab w:val="clear" w:pos="9360"/>
        </w:tabs>
        <w:rPr>
          <w:b/>
        </w:rPr>
      </w:pPr>
      <w:r>
        <w:rPr>
          <w:b/>
        </w:rPr>
      </w:r>
    </w:p>
    <w:p>
      <w:pPr>
        <w:pStyle w:val="Header"/>
        <w:tabs>
          <w:tab w:val="clear" w:pos="4680"/>
          <w:tab w:val="clear" w:pos="9360"/>
        </w:tabs>
        <w:rPr/>
      </w:pPr>
      <w:r>
        <w:rPr>
          <w:b/>
          <w:u w:val="single"/>
        </w:rPr>
        <w:t>Facility</w:t>
      </w:r>
      <w:r>
        <w:rPr>
          <w:b/>
        </w:rPr>
        <w:tab/>
        <w:tab/>
        <w:tab/>
        <w:tab/>
      </w:r>
      <w:r>
        <w:rPr>
          <w:b/>
          <w:u w:val="single"/>
        </w:rPr>
        <w:t>Agreement</w:t>
      </w:r>
    </w:p>
    <w:p>
      <w:pPr>
        <w:pStyle w:val="Header"/>
        <w:tabs>
          <w:tab w:val="clear" w:pos="4680"/>
          <w:tab w:val="clear" w:pos="9360"/>
        </w:tabs>
        <w:rPr/>
      </w:pPr>
      <w:r>
        <w:rPr/>
        <w:t>Hanover Measurement Services</w:t>
        <w:tab/>
        <w:t xml:space="preserve">Measurement Services Agreement: Article 14 </w:t>
      </w:r>
    </w:p>
    <w:p>
      <w:pPr>
        <w:pStyle w:val="Header"/>
        <w:tabs>
          <w:tab w:val="clear" w:pos="4680"/>
          <w:tab w:val="clear" w:pos="9360"/>
        </w:tabs>
        <w:ind w:firstLine="720" w:start="2880" w:end="0"/>
        <w:rPr/>
      </w:pPr>
      <w:r>
        <w:rPr/>
        <w:t>and Appendix 3</w:t>
      </w:r>
    </w:p>
    <w:p>
      <w:pPr>
        <w:pStyle w:val="Header"/>
        <w:tabs>
          <w:tab w:val="clear" w:pos="4680"/>
          <w:tab w:val="clear" w:pos="9360"/>
        </w:tabs>
        <w:rPr/>
      </w:pPr>
      <w:r>
        <w:rPr/>
      </w:r>
    </w:p>
    <w:p>
      <w:pPr>
        <w:pStyle w:val="Header"/>
        <w:tabs>
          <w:tab w:val="clear" w:pos="4680"/>
          <w:tab w:val="clear" w:pos="9360"/>
        </w:tabs>
        <w:ind w:hanging="3600" w:start="3600" w:end="0"/>
        <w:rPr/>
      </w:pPr>
      <w:r>
        <w:rPr/>
        <w:t>Hanover Compression</w:t>
        <w:tab/>
        <w:t>Compression Management Agreement: Section 7 and Appendix 1</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Gulf Energy Pipeline LLC (Tejas)</w:t>
        <w:tab/>
        <w:t>Section 5.12</w:t>
      </w:r>
    </w:p>
    <w:p>
      <w:pPr>
        <w:pStyle w:val="Header"/>
        <w:tabs>
          <w:tab w:val="clear" w:pos="4680"/>
          <w:tab w:val="clear" w:pos="9360"/>
        </w:tabs>
        <w:ind w:hanging="3600" w:start="3600" w:end="0"/>
        <w:rPr/>
      </w:pPr>
      <w:r>
        <w:rPr/>
        <w:t>Big Cowboy Line</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 xml:space="preserve">El Paso Field Services - </w:t>
        <w:tab/>
        <w:t>Operation and Maintenance Agreement: Article 9 and</w:t>
      </w:r>
    </w:p>
    <w:p>
      <w:pPr>
        <w:pStyle w:val="Header"/>
        <w:tabs>
          <w:tab w:val="clear" w:pos="4680"/>
          <w:tab w:val="clear" w:pos="9360"/>
        </w:tabs>
        <w:ind w:hanging="3600" w:start="3600" w:end="0"/>
        <w:rPr/>
      </w:pPr>
      <w:r>
        <w:rPr/>
        <w:t>A/S pipeline</w:t>
        <w:tab/>
        <w:t>Exhibit B</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Hanover Compression Speaks</w:t>
        <w:tab/>
        <w:t>Treating Agreement: Section 8 and Exhibit B</w:t>
      </w:r>
    </w:p>
    <w:p>
      <w:pPr>
        <w:pStyle w:val="Header"/>
        <w:tabs>
          <w:tab w:val="clear" w:pos="4680"/>
          <w:tab w:val="clear" w:pos="9360"/>
        </w:tabs>
        <w:ind w:hanging="3600" w:start="3600" w:end="0"/>
        <w:rPr/>
      </w:pPr>
      <w:r>
        <w:rPr/>
        <w:t>Treater</w:t>
      </w:r>
    </w:p>
    <w:p>
      <w:pPr>
        <w:pStyle w:val="Header"/>
        <w:tabs>
          <w:tab w:val="clear" w:pos="4680"/>
          <w:tab w:val="clear" w:pos="9360"/>
        </w:tabs>
        <w:ind w:hanging="3600" w:start="3600" w:end="0"/>
        <w:rPr/>
      </w:pPr>
      <w:r>
        <w:rPr/>
      </w:r>
    </w:p>
    <w:p>
      <w:pPr>
        <w:pStyle w:val="Header"/>
        <w:tabs>
          <w:tab w:val="clear" w:pos="4680"/>
          <w:tab w:val="clear" w:pos="9360"/>
        </w:tabs>
        <w:ind w:hanging="3600" w:start="3600" w:end="0"/>
        <w:rPr/>
      </w:pPr>
      <w:r>
        <w:rPr/>
        <w:t>South-Tex Treaters Inc.</w:t>
        <w:tab/>
        <w:t xml:space="preserve">Thompsonville Treating Agreement: Section 8 and </w:t>
      </w:r>
    </w:p>
    <w:p>
      <w:pPr>
        <w:pStyle w:val="Header"/>
        <w:tabs>
          <w:tab w:val="clear" w:pos="4680"/>
          <w:tab w:val="clear" w:pos="9360"/>
        </w:tabs>
        <w:ind w:start="3600" w:end="0"/>
        <w:rPr/>
      </w:pPr>
      <w:r>
        <w:rPr/>
        <w:t>Exhibit C</w:t>
      </w:r>
      <w:r>
        <w:br w:type="page"/>
      </w:r>
    </w:p>
    <w:p>
      <w:pPr>
        <w:pStyle w:val="Normal"/>
        <w:jc w:val="center"/>
        <w:rPr/>
      </w:pPr>
      <w:r>
        <w:rPr/>
        <w:t>PURCHASE AND SALE AGREEMENT</w:t>
      </w:r>
    </w:p>
    <w:p>
      <w:pPr>
        <w:pStyle w:val="Normal"/>
        <w:jc w:val="center"/>
        <w:rPr/>
      </w:pPr>
      <w:r>
        <w:rPr/>
      </w:r>
    </w:p>
    <w:p>
      <w:pPr>
        <w:pStyle w:val="Normal"/>
        <w:jc w:val="center"/>
        <w:rPr/>
      </w:pPr>
      <w:r>
        <w:rPr/>
        <w:t>Schedule 4.17</w:t>
      </w:r>
    </w:p>
    <w:p>
      <w:pPr>
        <w:pStyle w:val="Normal"/>
        <w:jc w:val="center"/>
        <w:rPr/>
      </w:pPr>
      <w:r>
        <w:rPr/>
        <w:t>Intellectual Property</w:t>
      </w:r>
    </w:p>
    <w:p>
      <w:pPr>
        <w:pStyle w:val="Normal"/>
        <w:jc w:val="center"/>
        <w:rPr/>
      </w:pPr>
      <w:r>
        <w:rPr/>
      </w:r>
    </w:p>
    <w:p>
      <w:pPr>
        <w:pStyle w:val="Normal"/>
        <w:rPr/>
      </w:pPr>
      <w:r>
        <w:rPr/>
        <w:t>Buyer shall own all rights in and to the names “Houston Pipe Line Company”, “HPL Resources Company”, “Lodisco, LLC”, “Texoma”, any variations of the foregoing, and any other trademarks, service marks, and trade names owned by the Acquired Companies.</w:t>
      </w:r>
    </w:p>
    <w:p>
      <w:pPr>
        <w:pStyle w:val="Normal"/>
        <w:rPr/>
      </w:pPr>
      <w:r>
        <w:rPr/>
      </w:r>
    </w:p>
    <w:p>
      <w:pPr>
        <w:pStyle w:val="Normal"/>
        <w:rPr/>
      </w:pPr>
      <w:r>
        <w:rPr/>
        <w:t>The only other Intellectual Property which is not an Excluded Asset is the SCADA Platform used in the dispatching, monitoring and controlling of pressures and flows on the Houston Pipe Line system and the software embedded in field remote terminal units and electronic flowmeters.  The primary component of the SCADA Platform is an “off the shelf” software product named Wonderware.  There are numerous customized screens and programs embedded in the Wonderware software that have been developed specifically for the HPL system.  [Note:  Buyer is responsible for acquiring any “Wonderware” licenses which are non-transferable to Buyer and also for “additional users”]</w:t>
      </w:r>
    </w:p>
    <w:p>
      <w:pPr>
        <w:pStyle w:val="Normal"/>
        <w:rPr/>
      </w:pPr>
      <w:r>
        <w:rPr/>
      </w:r>
    </w:p>
    <w:p>
      <w:pPr>
        <w:pStyle w:val="Normal"/>
        <w:rPr/>
      </w:pPr>
      <w:r>
        <w:rPr/>
      </w:r>
      <w:r>
        <w:br w:type="page"/>
      </w:r>
    </w:p>
    <w:p>
      <w:pPr>
        <w:pStyle w:val="Normal"/>
        <w:jc w:val="center"/>
        <w:rPr/>
      </w:pPr>
      <w:r>
        <w:rPr/>
        <w:t xml:space="preserve"> </w:t>
      </w:r>
      <w:r>
        <w:rPr/>
        <w:t>PURCHASE AND SALE AGREEMENT</w:t>
      </w:r>
    </w:p>
    <w:p>
      <w:pPr>
        <w:pStyle w:val="Normal"/>
        <w:jc w:val="center"/>
        <w:rPr/>
      </w:pPr>
      <w:r>
        <w:rPr/>
      </w:r>
    </w:p>
    <w:p>
      <w:pPr>
        <w:pStyle w:val="Normal"/>
        <w:jc w:val="center"/>
        <w:rPr/>
      </w:pPr>
      <w:r>
        <w:rPr/>
        <w:t>Schedule 4.19</w:t>
      </w:r>
    </w:p>
    <w:p>
      <w:pPr>
        <w:pStyle w:val="Normal"/>
        <w:jc w:val="center"/>
        <w:rPr/>
      </w:pPr>
      <w:r>
        <w:rPr/>
        <w:t>Related Party Transactions</w:t>
      </w:r>
    </w:p>
    <w:p>
      <w:pPr>
        <w:pStyle w:val="Normal"/>
        <w:jc w:val="center"/>
        <w:rPr/>
      </w:pPr>
      <w:r>
        <w:rPr/>
      </w:r>
    </w:p>
    <w:p>
      <w:pPr>
        <w:pStyle w:val="Normal"/>
        <w:rPr/>
      </w:pPr>
      <w:r>
        <w:rPr/>
        <w:t>1.</w:t>
        <w:tab/>
        <w:t>Prior to Closing, ENA and HPL or Newco, as appropriate, will enter into a Master ISDA Swap Agreement and confirmations for each of the fixed price natural gas sales and/or purchase agreements and fixed price option agreements to which either HPL or Newco is a party and for which ENA has entered into a hedge transaction that has a term extending past the Closing.  These swap agreements between ENA and HPL or Newco will survive the Closing.  The hedge transactions that cover option agreements which have a fixed price component that are in place as of the date hereof are described on Appendix 4.19(a) hereto.  The fixed price contracts listed on Appendix 4.19(b) have hedges that convert each Mmbtu sold into the Published Price in Inside FERC (Houston Ship Channel) for its respective month.</w:t>
      </w:r>
    </w:p>
    <w:p>
      <w:pPr>
        <w:pStyle w:val="Normal"/>
        <w:rPr/>
      </w:pPr>
      <w:r>
        <w:rPr/>
      </w:r>
    </w:p>
    <w:p>
      <w:pPr>
        <w:pStyle w:val="Normal"/>
        <w:rPr/>
      </w:pPr>
      <w:r>
        <w:rPr/>
        <w:t>2.</w:t>
        <w:tab/>
        <w:t xml:space="preserve">Additional Related Party Transactions that will survive the Closing are listed on Appendix 4.19(b).  </w:t>
      </w:r>
    </w:p>
    <w:p>
      <w:pPr>
        <w:pStyle w:val="Normal"/>
        <w:rPr/>
      </w:pPr>
      <w:r>
        <w:rPr/>
      </w:r>
    </w:p>
    <w:p>
      <w:pPr>
        <w:sectPr>
          <w:headerReference w:type="defaul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Header"/>
        <w:tabs>
          <w:tab w:val="clear" w:pos="4680"/>
          <w:tab w:val="clear" w:pos="9360"/>
        </w:tabs>
        <w:rPr/>
      </w:pPr>
      <w:r>
        <w:rPr/>
      </w:r>
    </w:p>
    <w:tbl>
      <w:tblPr>
        <w:tblW w:w="31680" w:type="dxa"/>
        <w:jc w:val="start"/>
        <w:tblInd w:w="0" w:type="dxa"/>
        <w:tblLayout w:type="fixed"/>
        <w:tblCellMar>
          <w:top w:w="16" w:type="dxa"/>
          <w:start w:w="16" w:type="dxa"/>
          <w:bottom w:w="0" w:type="dxa"/>
          <w:end w:w="16" w:type="dxa"/>
        </w:tblCellMar>
      </w:tblPr>
      <w:tblGrid>
        <w:gridCol w:w="556"/>
        <w:gridCol w:w="540"/>
        <w:gridCol w:w="720"/>
        <w:gridCol w:w="720"/>
        <w:gridCol w:w="720"/>
        <w:gridCol w:w="270"/>
        <w:gridCol w:w="540"/>
        <w:gridCol w:w="630"/>
        <w:gridCol w:w="630"/>
        <w:gridCol w:w="630"/>
        <w:gridCol w:w="810"/>
        <w:gridCol w:w="180"/>
        <w:gridCol w:w="450"/>
        <w:gridCol w:w="630"/>
        <w:gridCol w:w="630"/>
        <w:gridCol w:w="630"/>
        <w:gridCol w:w="810"/>
        <w:gridCol w:w="180"/>
        <w:gridCol w:w="450"/>
        <w:gridCol w:w="720"/>
        <w:gridCol w:w="720"/>
        <w:gridCol w:w="630"/>
        <w:gridCol w:w="810"/>
        <w:gridCol w:w="2806"/>
        <w:gridCol w:w="1682"/>
        <w:gridCol w:w="1682"/>
        <w:gridCol w:w="1682"/>
        <w:gridCol w:w="1682"/>
        <w:gridCol w:w="1682"/>
        <w:gridCol w:w="1682"/>
        <w:gridCol w:w="1682"/>
        <w:gridCol w:w="1682"/>
        <w:gridCol w:w="510"/>
        <w:gridCol w:w="93"/>
        <w:gridCol w:w="93"/>
        <w:gridCol w:w="93"/>
        <w:gridCol w:w="93"/>
        <w:gridCol w:w="93"/>
        <w:gridCol w:w="93"/>
        <w:gridCol w:w="93"/>
        <w:gridCol w:w="93"/>
        <w:gridCol w:w="93"/>
        <w:gridCol w:w="93"/>
        <w:gridCol w:w="93"/>
        <w:gridCol w:w="93"/>
        <w:gridCol w:w="93"/>
        <w:gridCol w:w="93"/>
      </w:tblGrid>
      <w:tr>
        <w:trPr>
          <w:trHeight w:val="173" w:hRule="exact"/>
        </w:trPr>
        <w:tc>
          <w:tcPr>
            <w:tcW w:w="1816" w:type="dxa"/>
            <w:gridSpan w:val="3"/>
            <w:tcBorders/>
            <w:vAlign w:val="bottom"/>
          </w:tcPr>
          <w:p>
            <w:pPr>
              <w:pStyle w:val="Normal"/>
              <w:rPr>
                <w:rFonts w:ascii="Arial" w:hAnsi="Arial" w:cs="Arial"/>
                <w:b/>
                <w:bCs/>
                <w:sz w:val="12"/>
                <w:szCs w:val="32"/>
              </w:rPr>
            </w:pPr>
            <w:r>
              <w:rPr>
                <w:rFonts w:cs="Arial" w:ascii="Arial" w:hAnsi="Arial"/>
                <w:b/>
                <w:bCs/>
                <w:sz w:val="12"/>
                <w:szCs w:val="32"/>
              </w:rPr>
              <w:t>APPENDIX 4.19(a)</w:t>
            </w:r>
          </w:p>
        </w:tc>
        <w:tc>
          <w:tcPr>
            <w:tcW w:w="72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72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27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54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81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8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45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81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8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45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72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72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63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81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2806"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1682"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510"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c>
          <w:tcPr>
            <w:tcW w:w="93" w:type="dxa"/>
            <w:tcBorders/>
            <w:vAlign w:val="bottom"/>
          </w:tcPr>
          <w:p>
            <w:pPr>
              <w:pStyle w:val="Normal"/>
              <w:snapToGrid w:val="false"/>
              <w:rPr>
                <w:rFonts w:ascii="Arial" w:hAnsi="Arial" w:cs="Arial"/>
                <w:b/>
                <w:bCs/>
                <w:sz w:val="12"/>
                <w:szCs w:val="32"/>
              </w:rPr>
            </w:pPr>
            <w:r>
              <w:rPr>
                <w:rFonts w:cs="Arial" w:ascii="Arial" w:hAnsi="Arial"/>
                <w:b/>
                <w:bCs/>
                <w:sz w:val="12"/>
                <w:szCs w:val="32"/>
              </w:rPr>
            </w:r>
          </w:p>
        </w:tc>
      </w:tr>
      <w:tr>
        <w:trPr>
          <w:trHeight w:val="173" w:hRule="exact"/>
        </w:trPr>
        <w:tc>
          <w:tcPr>
            <w:tcW w:w="556" w:type="dxa"/>
            <w:tcBorders/>
            <w:vAlign w:val="bottom"/>
          </w:tcPr>
          <w:p>
            <w:pPr>
              <w:pStyle w:val="Normal"/>
              <w:rPr>
                <w:rFonts w:ascii="Arial" w:hAnsi="Arial" w:cs="Arial"/>
                <w:b/>
                <w:bCs/>
                <w:sz w:val="12"/>
                <w:szCs w:val="28"/>
              </w:rPr>
            </w:pPr>
            <w:r>
              <w:rPr>
                <w:rFonts w:cs="Arial" w:ascii="Arial" w:hAnsi="Arial"/>
                <w:b/>
                <w:bCs/>
                <w:sz w:val="12"/>
                <w:szCs w:val="28"/>
              </w:rPr>
              <w:t>HPL</w:t>
            </w:r>
          </w:p>
        </w:tc>
        <w:tc>
          <w:tcPr>
            <w:tcW w:w="540" w:type="dxa"/>
            <w:tcBorders/>
            <w:vAlign w:val="bottom"/>
          </w:tcPr>
          <w:p>
            <w:pPr>
              <w:pStyle w:val="Normal"/>
              <w:snapToGrid w:val="false"/>
              <w:rPr>
                <w:rFonts w:ascii="Arial" w:hAnsi="Arial" w:cs="Arial"/>
                <w:b/>
                <w:bCs/>
                <w:sz w:val="12"/>
                <w:szCs w:val="28"/>
              </w:rPr>
            </w:pPr>
            <w:r>
              <w:rPr>
                <w:rFonts w:cs="Arial" w:ascii="Arial" w:hAnsi="Arial"/>
                <w:b/>
                <w:bCs/>
                <w:sz w:val="12"/>
                <w:szCs w:val="28"/>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270"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2806"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510"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r>
      <w:tr>
        <w:trPr>
          <w:trHeight w:val="173" w:hRule="exact"/>
        </w:trPr>
        <w:tc>
          <w:tcPr>
            <w:tcW w:w="3256" w:type="dxa"/>
            <w:gridSpan w:val="5"/>
            <w:tcBorders/>
            <w:vAlign w:val="bottom"/>
          </w:tcPr>
          <w:p>
            <w:pPr>
              <w:pStyle w:val="Normal"/>
              <w:rPr>
                <w:rFonts w:ascii="Arial" w:hAnsi="Arial" w:cs="Arial"/>
                <w:b/>
                <w:bCs/>
                <w:sz w:val="12"/>
                <w:szCs w:val="28"/>
              </w:rPr>
            </w:pPr>
            <w:r>
              <w:rPr>
                <w:rFonts w:cs="Arial" w:ascii="Arial" w:hAnsi="Arial"/>
                <w:b/>
                <w:bCs/>
                <w:sz w:val="12"/>
                <w:szCs w:val="28"/>
              </w:rPr>
              <w:t>Summary of Fixed Price Contracts</w:t>
            </w:r>
          </w:p>
        </w:tc>
        <w:tc>
          <w:tcPr>
            <w:tcW w:w="270" w:type="dxa"/>
            <w:tcBorders/>
            <w:vAlign w:val="bottom"/>
          </w:tcPr>
          <w:p>
            <w:pPr>
              <w:pStyle w:val="Normal"/>
              <w:snapToGrid w:val="false"/>
              <w:rPr>
                <w:rFonts w:ascii="Arial" w:hAnsi="Arial" w:cs="Arial"/>
                <w:b/>
                <w:bCs/>
                <w:sz w:val="12"/>
                <w:szCs w:val="28"/>
              </w:rPr>
            </w:pPr>
            <w:r>
              <w:rPr>
                <w:rFonts w:cs="Arial" w:ascii="Arial" w:hAnsi="Arial"/>
                <w:b/>
                <w:bCs/>
                <w:sz w:val="12"/>
                <w:szCs w:val="28"/>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2806"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510"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r>
      <w:tr>
        <w:trPr>
          <w:trHeight w:val="23" w:hRule="exact"/>
        </w:trPr>
        <w:tc>
          <w:tcPr>
            <w:tcW w:w="556"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1440"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270"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1260"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1260"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1350"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2806"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3364"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603"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186"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186"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r>
      <w:tr>
        <w:trPr>
          <w:trHeight w:val="173" w:hRule="exact"/>
        </w:trPr>
        <w:tc>
          <w:tcPr>
            <w:tcW w:w="556"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96014780 </w:t>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270"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96001400 </w:t>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tcBorders/>
            <w:vAlign w:val="bottom"/>
          </w:tcPr>
          <w:p>
            <w:pPr>
              <w:pStyle w:val="Normal"/>
              <w:snapToGrid w:val="false"/>
              <w:rPr>
                <w:rFonts w:ascii="Arial" w:hAnsi="Arial" w:cs="Arial"/>
                <w:b/>
                <w:bCs/>
                <w:sz w:val="12"/>
              </w:rPr>
            </w:pPr>
            <w:r>
              <w:rPr>
                <w:rFonts w:cs="Arial" w:ascii="Arial" w:hAnsi="Arial"/>
                <w:b/>
                <w:bCs/>
                <w:sz w:val="12"/>
              </w:rPr>
            </w:r>
          </w:p>
        </w:tc>
        <w:tc>
          <w:tcPr>
            <w:tcW w:w="45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tcBorders/>
            <w:vAlign w:val="bottom"/>
          </w:tcPr>
          <w:p>
            <w:pPr>
              <w:pStyle w:val="Normal"/>
              <w:snapToGrid w:val="false"/>
              <w:rPr>
                <w:rFonts w:ascii="Arial" w:hAnsi="Arial" w:cs="Arial"/>
                <w:b/>
                <w:bCs/>
                <w:sz w:val="12"/>
              </w:rPr>
            </w:pPr>
            <w:r>
              <w:rPr>
                <w:rFonts w:cs="Arial" w:ascii="Arial" w:hAnsi="Arial"/>
                <w:b/>
                <w:bCs/>
                <w:sz w:val="12"/>
              </w:rPr>
            </w:r>
          </w:p>
        </w:tc>
        <w:tc>
          <w:tcPr>
            <w:tcW w:w="2806"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1682" w:type="dxa"/>
            <w:tcBorders/>
            <w:vAlign w:val="bottom"/>
          </w:tcPr>
          <w:p>
            <w:pPr>
              <w:pStyle w:val="Normal"/>
              <w:snapToGrid w:val="false"/>
              <w:rPr>
                <w:rFonts w:ascii="Arial" w:hAnsi="Arial" w:cs="Arial"/>
                <w:b/>
                <w:bCs/>
                <w:sz w:val="12"/>
              </w:rPr>
            </w:pPr>
            <w:r>
              <w:rPr>
                <w:rFonts w:cs="Arial" w:ascii="Arial" w:hAnsi="Arial"/>
                <w:b/>
                <w:bCs/>
                <w:sz w:val="12"/>
              </w:rPr>
            </w:r>
          </w:p>
        </w:tc>
        <w:tc>
          <w:tcPr>
            <w:tcW w:w="51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96004597 </w:t>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r>
      <w:tr>
        <w:trPr>
          <w:trHeight w:val="173" w:hRule="exact"/>
        </w:trPr>
        <w:tc>
          <w:tcPr>
            <w:tcW w:w="556"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4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72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72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72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27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4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81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18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5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81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18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5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72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72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81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2806"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1682"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1682"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1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b/>
                <w:bCs/>
                <w:sz w:val="12"/>
              </w:rPr>
            </w:pPr>
            <w:r>
              <w:rPr>
                <w:rFonts w:cs="Arial" w:ascii="Arial" w:hAnsi="Arial"/>
                <w:b/>
                <w:bCs/>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93"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r>
      <w:tr>
        <w:trPr>
          <w:trHeight w:val="173" w:hRule="exact"/>
        </w:trPr>
        <w:tc>
          <w:tcPr>
            <w:tcW w:w="556"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4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72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72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72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27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4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81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18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5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81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18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5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72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72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81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2806"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1682"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1682"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1682"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1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93"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r>
      <w:tr>
        <w:trPr>
          <w:trHeight w:val="173" w:hRule="exact"/>
        </w:trPr>
        <w:tc>
          <w:tcPr>
            <w:tcW w:w="556" w:type="dxa"/>
            <w:tcBorders/>
            <w:vAlign w:val="bottom"/>
          </w:tcPr>
          <w:p>
            <w:pPr>
              <w:pStyle w:val="Normal"/>
              <w:rPr>
                <w:rFonts w:ascii="Arial" w:hAnsi="Arial" w:cs="Arial"/>
                <w:sz w:val="12"/>
              </w:rPr>
            </w:pPr>
            <w:r>
              <w:rPr>
                <w:rFonts w:cs="Arial" w:ascii="Arial" w:hAnsi="Arial"/>
                <w:sz w:val="12"/>
              </w:rPr>
              <w:t>Calpine</w:t>
            </w:r>
          </w:p>
        </w:tc>
        <w:tc>
          <w:tcPr>
            <w:tcW w:w="540" w:type="dxa"/>
            <w:tcBorders/>
            <w:vAlign w:val="bottom"/>
          </w:tcPr>
          <w:p>
            <w:pPr>
              <w:pStyle w:val="Normal"/>
              <w:jc w:val="end"/>
              <w:rPr>
                <w:rFonts w:ascii="Arial" w:hAnsi="Arial" w:cs="Arial"/>
                <w:sz w:val="12"/>
              </w:rPr>
            </w:pPr>
            <w:r>
              <w:rPr>
                <w:rFonts w:cs="Arial" w:ascii="Arial" w:hAnsi="Arial"/>
                <w:sz w:val="12"/>
              </w:rPr>
              <w:t>Apr-01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rPr>
                <w:rFonts w:ascii="Arial" w:hAnsi="Arial" w:cs="Arial"/>
                <w:sz w:val="12"/>
              </w:rPr>
            </w:pPr>
            <w:r>
              <w:rPr>
                <w:rFonts w:cs="Arial" w:ascii="Arial" w:hAnsi="Arial"/>
                <w:sz w:val="12"/>
              </w:rPr>
              <w:t>TUFCO</w:t>
            </w:r>
          </w:p>
        </w:tc>
        <w:tc>
          <w:tcPr>
            <w:tcW w:w="630" w:type="dxa"/>
            <w:tcBorders/>
            <w:vAlign w:val="bottom"/>
          </w:tcPr>
          <w:p>
            <w:pPr>
              <w:pStyle w:val="Normal"/>
              <w:jc w:val="end"/>
              <w:rPr>
                <w:rFonts w:ascii="Arial" w:hAnsi="Arial" w:cs="Arial"/>
                <w:sz w:val="12"/>
              </w:rPr>
            </w:pPr>
            <w:r>
              <w:rPr>
                <w:rFonts w:cs="Arial" w:ascii="Arial" w:hAnsi="Arial"/>
                <w:sz w:val="12"/>
              </w:rPr>
              <w:t>Apr-01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rPr>
                <w:rFonts w:ascii="Arial" w:hAnsi="Arial" w:cs="Arial"/>
                <w:sz w:val="12"/>
              </w:rPr>
            </w:pPr>
            <w:r>
              <w:rPr>
                <w:rFonts w:cs="Arial" w:ascii="Arial" w:hAnsi="Arial"/>
                <w:sz w:val="12"/>
              </w:rPr>
              <w:t>Entex</w:t>
            </w:r>
          </w:p>
        </w:tc>
        <w:tc>
          <w:tcPr>
            <w:tcW w:w="630" w:type="dxa"/>
            <w:tcBorders/>
            <w:vAlign w:val="bottom"/>
          </w:tcPr>
          <w:p>
            <w:pPr>
              <w:pStyle w:val="Normal"/>
              <w:jc w:val="end"/>
              <w:rPr>
                <w:rFonts w:ascii="Arial" w:hAnsi="Arial" w:cs="Arial"/>
                <w:sz w:val="12"/>
              </w:rPr>
            </w:pPr>
            <w:r>
              <w:rPr>
                <w:rFonts w:cs="Arial" w:ascii="Arial" w:hAnsi="Arial"/>
                <w:sz w:val="12"/>
              </w:rPr>
              <w:t>Apr-01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rPr>
                <w:rFonts w:ascii="Arial" w:hAnsi="Arial" w:cs="Arial"/>
                <w:sz w:val="12"/>
              </w:rPr>
            </w:pPr>
            <w:r>
              <w:rPr>
                <w:rFonts w:cs="Arial" w:ascii="Arial" w:hAnsi="Arial"/>
                <w:sz w:val="12"/>
              </w:rPr>
              <w:t>Entex</w:t>
            </w:r>
          </w:p>
        </w:tc>
        <w:tc>
          <w:tcPr>
            <w:tcW w:w="720" w:type="dxa"/>
            <w:tcBorders/>
            <w:vAlign w:val="bottom"/>
          </w:tcPr>
          <w:p>
            <w:pPr>
              <w:pStyle w:val="Normal"/>
              <w:jc w:val="end"/>
              <w:rPr>
                <w:rFonts w:ascii="Arial" w:hAnsi="Arial" w:cs="Arial"/>
                <w:sz w:val="12"/>
              </w:rPr>
            </w:pPr>
            <w:r>
              <w:rPr>
                <w:rFonts w:cs="Arial" w:ascii="Arial" w:hAnsi="Arial"/>
                <w:sz w:val="12"/>
              </w:rPr>
              <w:t>Nov-01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rPr>
                <w:rFonts w:ascii="Arial" w:hAnsi="Arial" w:cs="Arial"/>
                <w:sz w:val="12"/>
              </w:rPr>
            </w:pPr>
            <w:r>
              <w:rPr>
                <w:rFonts w:cs="Arial" w:ascii="Arial" w:hAnsi="Arial"/>
                <w:sz w:val="12"/>
              </w:rPr>
              <w:t>Entex</w:t>
            </w:r>
          </w:p>
        </w:tc>
        <w:tc>
          <w:tcPr>
            <w:tcW w:w="1682" w:type="dxa"/>
            <w:tcBorders/>
            <w:vAlign w:val="bottom"/>
          </w:tcPr>
          <w:p>
            <w:pPr>
              <w:pStyle w:val="Normal"/>
              <w:jc w:val="end"/>
              <w:rPr>
                <w:rFonts w:ascii="Arial" w:hAnsi="Arial" w:cs="Arial"/>
                <w:sz w:val="12"/>
              </w:rPr>
            </w:pPr>
            <w:r>
              <w:rPr>
                <w:rFonts w:cs="Arial" w:ascii="Arial" w:hAnsi="Arial"/>
                <w:sz w:val="12"/>
              </w:rPr>
              <w:t>Nov-02</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1682" w:type="dxa"/>
            <w:tcBorders/>
            <w:vAlign w:val="bottom"/>
          </w:tcPr>
          <w:p>
            <w:pPr>
              <w:pStyle w:val="Normal"/>
              <w:jc w:val="center"/>
              <w:rPr>
                <w:rFonts w:ascii="Arial" w:hAnsi="Arial" w:cs="Arial"/>
                <w:sz w:val="12"/>
              </w:rPr>
            </w:pPr>
            <w:r>
              <w:rPr>
                <w:rFonts w:cs="Arial" w:ascii="Arial" w:hAnsi="Arial"/>
                <w:sz w:val="12"/>
              </w:rPr>
              <w:t>HSC</w:t>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rPr>
                <w:rFonts w:ascii="Arial" w:hAnsi="Arial" w:cs="Arial"/>
                <w:sz w:val="12"/>
              </w:rPr>
            </w:pPr>
            <w:r>
              <w:rPr>
                <w:rFonts w:cs="Arial" w:ascii="Arial" w:hAnsi="Arial"/>
                <w:sz w:val="12"/>
              </w:rPr>
              <w:t>Entex</w:t>
            </w:r>
          </w:p>
        </w:tc>
        <w:tc>
          <w:tcPr>
            <w:tcW w:w="1682" w:type="dxa"/>
            <w:tcBorders/>
            <w:vAlign w:val="bottom"/>
          </w:tcPr>
          <w:p>
            <w:pPr>
              <w:pStyle w:val="Normal"/>
              <w:jc w:val="end"/>
              <w:rPr>
                <w:rFonts w:ascii="Arial" w:hAnsi="Arial" w:cs="Arial"/>
                <w:sz w:val="12"/>
              </w:rPr>
            </w:pPr>
            <w:r>
              <w:rPr>
                <w:rFonts w:cs="Arial" w:ascii="Arial" w:hAnsi="Arial"/>
                <w:sz w:val="12"/>
              </w:rPr>
              <w:t>Apr-01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rPr>
                <w:rFonts w:ascii="Arial" w:hAnsi="Arial" w:cs="Arial"/>
                <w:sz w:val="12"/>
              </w:rPr>
            </w:pPr>
            <w:r>
              <w:rPr>
                <w:rFonts w:cs="Arial" w:ascii="Arial" w:hAnsi="Arial"/>
                <w:sz w:val="12"/>
              </w:rPr>
              <w:t>Entex</w:t>
            </w:r>
          </w:p>
        </w:tc>
        <w:tc>
          <w:tcPr>
            <w:tcW w:w="93" w:type="dxa"/>
            <w:tcBorders/>
            <w:vAlign w:val="bottom"/>
          </w:tcPr>
          <w:p>
            <w:pPr>
              <w:pStyle w:val="Normal"/>
              <w:jc w:val="end"/>
              <w:rPr>
                <w:rFonts w:ascii="Arial" w:hAnsi="Arial" w:cs="Arial"/>
                <w:sz w:val="12"/>
              </w:rPr>
            </w:pPr>
            <w:r>
              <w:rPr>
                <w:rFonts w:cs="Arial" w:ascii="Arial" w:hAnsi="Arial"/>
                <w:sz w:val="12"/>
              </w:rPr>
              <w:t>Apr-01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rPr>
                <w:rFonts w:ascii="Arial" w:hAnsi="Arial" w:cs="Arial"/>
                <w:sz w:val="12"/>
              </w:rPr>
            </w:pPr>
            <w:r>
              <w:rPr>
                <w:rFonts w:cs="Arial" w:ascii="Arial" w:hAnsi="Arial"/>
                <w:sz w:val="12"/>
              </w:rPr>
              <w:t>Entex</w:t>
            </w:r>
          </w:p>
        </w:tc>
        <w:tc>
          <w:tcPr>
            <w:tcW w:w="93" w:type="dxa"/>
            <w:tcBorders/>
            <w:vAlign w:val="bottom"/>
          </w:tcPr>
          <w:p>
            <w:pPr>
              <w:pStyle w:val="Normal"/>
              <w:jc w:val="end"/>
              <w:rPr>
                <w:rFonts w:ascii="Arial" w:hAnsi="Arial" w:cs="Arial"/>
                <w:sz w:val="12"/>
              </w:rPr>
            </w:pPr>
            <w:r>
              <w:rPr>
                <w:rFonts w:cs="Arial" w:ascii="Arial" w:hAnsi="Arial"/>
                <w:sz w:val="12"/>
              </w:rPr>
              <w:t>Oct-01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May-01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Dec-01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Dec-02</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1682" w:type="dxa"/>
            <w:tcBorders/>
            <w:vAlign w:val="bottom"/>
          </w:tcPr>
          <w:p>
            <w:pPr>
              <w:pStyle w:val="Normal"/>
              <w:jc w:val="center"/>
              <w:rPr>
                <w:rFonts w:ascii="Arial" w:hAnsi="Arial" w:cs="Arial"/>
                <w:sz w:val="12"/>
              </w:rPr>
            </w:pPr>
            <w:r>
              <w:rPr>
                <w:rFonts w:cs="Arial" w:ascii="Arial" w:hAnsi="Arial"/>
                <w:sz w:val="12"/>
              </w:rPr>
              <w:t>HSC</w:t>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May-01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May-01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Nov-01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Jun-01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Jun-01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(40,000)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Jun-01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Jan-02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Jan-03</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1682" w:type="dxa"/>
            <w:tcBorders/>
            <w:vAlign w:val="bottom"/>
          </w:tcPr>
          <w:p>
            <w:pPr>
              <w:pStyle w:val="Normal"/>
              <w:jc w:val="center"/>
              <w:rPr>
                <w:rFonts w:ascii="Arial" w:hAnsi="Arial" w:cs="Arial"/>
                <w:sz w:val="12"/>
              </w:rPr>
            </w:pPr>
            <w:r>
              <w:rPr>
                <w:rFonts w:cs="Arial" w:ascii="Arial" w:hAnsi="Arial"/>
                <w:sz w:val="12"/>
              </w:rPr>
              <w:t>HSC</w:t>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Jun-01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Jun-01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Dec-01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Jul-01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Jul-01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(40,000)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Jul-01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Feb-02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Feb-03</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1682" w:type="dxa"/>
            <w:tcBorders/>
            <w:vAlign w:val="bottom"/>
          </w:tcPr>
          <w:p>
            <w:pPr>
              <w:pStyle w:val="Normal"/>
              <w:jc w:val="center"/>
              <w:rPr>
                <w:rFonts w:ascii="Arial" w:hAnsi="Arial" w:cs="Arial"/>
                <w:sz w:val="12"/>
              </w:rPr>
            </w:pPr>
            <w:r>
              <w:rPr>
                <w:rFonts w:cs="Arial" w:ascii="Arial" w:hAnsi="Arial"/>
                <w:sz w:val="12"/>
              </w:rPr>
              <w:t>HSC</w:t>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Jul-01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Jul-01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Jan-02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Aug-01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Aug-01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(40,000)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Aug-01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Mar-02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Mar-03</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1682"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1682" w:type="dxa"/>
            <w:tcBorders/>
            <w:vAlign w:val="bottom"/>
          </w:tcPr>
          <w:p>
            <w:pPr>
              <w:pStyle w:val="Normal"/>
              <w:jc w:val="center"/>
              <w:rPr>
                <w:rFonts w:ascii="Arial" w:hAnsi="Arial" w:cs="Arial"/>
                <w:sz w:val="12"/>
              </w:rPr>
            </w:pPr>
            <w:r>
              <w:rPr>
                <w:rFonts w:cs="Arial" w:ascii="Arial" w:hAnsi="Arial"/>
                <w:sz w:val="12"/>
              </w:rPr>
              <w:t>HSC</w:t>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Aug-01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Aug-01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Feb-02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Sep-01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Sep-01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(40,000)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Sep-01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Apr-02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jc w:val="center"/>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Sep-01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Sep-01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Mar-02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Oct-01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Oct-01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2.310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Oct-01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May-02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jc w:val="center"/>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Oct-01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Oct-01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Apr-02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Nov-01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Nov-01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Jun-02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jc w:val="center"/>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Nov-01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Nov-01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May-02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Dec-01</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2.350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2880" w:type="dxa"/>
            <w:gridSpan w:val="5"/>
            <w:tcBorders/>
            <w:vAlign w:val="bottom"/>
          </w:tcPr>
          <w:p>
            <w:pPr>
              <w:pStyle w:val="Normal"/>
              <w:rPr>
                <w:rFonts w:ascii="Arial" w:hAnsi="Arial" w:cs="Arial"/>
                <w:b/>
                <w:bCs/>
                <w:i/>
                <w:i/>
                <w:iCs/>
                <w:sz w:val="12"/>
              </w:rPr>
            </w:pPr>
            <w:r>
              <w:rPr>
                <w:rFonts w:cs="Arial" w:ascii="Arial" w:hAnsi="Arial"/>
                <w:b/>
                <w:bCs/>
                <w:i/>
                <w:iCs/>
                <w:sz w:val="12"/>
              </w:rPr>
              <w:t>TUFCO has instantaneous swing rights on a</w:t>
            </w:r>
          </w:p>
        </w:tc>
        <w:tc>
          <w:tcPr>
            <w:tcW w:w="45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jc w:val="end"/>
              <w:rPr>
                <w:rFonts w:ascii="Arial" w:hAnsi="Arial" w:cs="Arial"/>
                <w:sz w:val="12"/>
              </w:rPr>
            </w:pPr>
            <w:r>
              <w:rPr>
                <w:rFonts w:cs="Arial" w:ascii="Arial" w:hAnsi="Arial"/>
                <w:sz w:val="12"/>
              </w:rPr>
              <w:t>Dec-01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Jul-02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jc w:val="center"/>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Dec-01</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Dec-01</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Jun-02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Jan-02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2880" w:type="dxa"/>
            <w:gridSpan w:val="5"/>
            <w:tcBorders/>
            <w:vAlign w:val="bottom"/>
          </w:tcPr>
          <w:p>
            <w:pPr>
              <w:pStyle w:val="Normal"/>
              <w:rPr>
                <w:rFonts w:ascii="Arial" w:hAnsi="Arial" w:cs="Arial"/>
                <w:b/>
                <w:bCs/>
                <w:i/>
                <w:i/>
                <w:iCs/>
                <w:sz w:val="12"/>
              </w:rPr>
            </w:pPr>
            <w:r>
              <w:rPr>
                <w:rFonts w:cs="Arial" w:ascii="Arial" w:hAnsi="Arial"/>
                <w:b/>
                <w:bCs/>
                <w:i/>
                <w:iCs/>
                <w:sz w:val="12"/>
              </w:rPr>
              <w:t>daily basis from 0 - 60,000/day but must average</w:t>
            </w:r>
          </w:p>
        </w:tc>
        <w:tc>
          <w:tcPr>
            <w:tcW w:w="45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jc w:val="end"/>
              <w:rPr>
                <w:rFonts w:ascii="Arial" w:hAnsi="Arial" w:cs="Arial"/>
                <w:sz w:val="12"/>
              </w:rPr>
            </w:pPr>
            <w:r>
              <w:rPr>
                <w:rFonts w:cs="Arial" w:ascii="Arial" w:hAnsi="Arial"/>
                <w:sz w:val="12"/>
              </w:rPr>
              <w:t>Jan-02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Aug-02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6728" w:type="dxa"/>
            <w:gridSpan w:val="4"/>
            <w:tcBorders/>
            <w:vAlign w:val="bottom"/>
          </w:tcPr>
          <w:p>
            <w:pPr>
              <w:pStyle w:val="Normal"/>
              <w:rPr>
                <w:rFonts w:ascii="Arial" w:hAnsi="Arial" w:cs="Arial"/>
                <w:b/>
                <w:bCs/>
                <w:i/>
                <w:i/>
                <w:iCs/>
                <w:sz w:val="12"/>
              </w:rPr>
            </w:pPr>
            <w:r>
              <w:rPr>
                <w:rFonts w:cs="Arial" w:ascii="Arial" w:hAnsi="Arial"/>
                <w:b/>
                <w:bCs/>
                <w:i/>
                <w:iCs/>
                <w:sz w:val="12"/>
              </w:rPr>
              <w:t>Entex contract price is $3.17 + .769.</w:t>
            </w:r>
          </w:p>
        </w:tc>
        <w:tc>
          <w:tcPr>
            <w:tcW w:w="1682"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Jan-02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Jul-02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Feb-02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2700" w:type="dxa"/>
            <w:gridSpan w:val="4"/>
            <w:tcBorders/>
            <w:vAlign w:val="bottom"/>
          </w:tcPr>
          <w:p>
            <w:pPr>
              <w:pStyle w:val="Normal"/>
              <w:rPr>
                <w:rFonts w:ascii="Arial" w:hAnsi="Arial" w:cs="Arial"/>
                <w:b/>
                <w:bCs/>
                <w:i/>
                <w:i/>
                <w:iCs/>
                <w:sz w:val="12"/>
              </w:rPr>
            </w:pPr>
            <w:r>
              <w:rPr>
                <w:rFonts w:cs="Arial" w:ascii="Arial" w:hAnsi="Arial"/>
                <w:b/>
                <w:bCs/>
                <w:i/>
                <w:iCs/>
                <w:sz w:val="12"/>
              </w:rPr>
              <w:t>the quantity above for the month.</w:t>
            </w:r>
          </w:p>
        </w:tc>
        <w:tc>
          <w:tcPr>
            <w:tcW w:w="18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Feb-02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Sep-02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Feb-02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Aug-02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Mar-02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Mar-02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Oct-02</w:t>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Mar-02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279" w:type="dxa"/>
            <w:gridSpan w:val="3"/>
            <w:tcBorders/>
            <w:vAlign w:val="bottom"/>
          </w:tcPr>
          <w:p>
            <w:pPr>
              <w:pStyle w:val="Normal"/>
              <w:rPr>
                <w:rFonts w:ascii="Arial" w:hAnsi="Arial" w:cs="Arial"/>
                <w:b/>
                <w:bCs/>
                <w:i/>
                <w:i/>
                <w:iCs/>
                <w:sz w:val="12"/>
              </w:rPr>
            </w:pPr>
            <w:r>
              <w:rPr>
                <w:rFonts w:cs="Arial" w:ascii="Arial" w:hAnsi="Arial"/>
                <w:b/>
                <w:bCs/>
                <w:i/>
                <w:iCs/>
                <w:sz w:val="12"/>
              </w:rPr>
              <w:t>Entex contract price is $2.00</w:t>
            </w:r>
          </w:p>
        </w:tc>
        <w:tc>
          <w:tcPr>
            <w:tcW w:w="93" w:type="dxa"/>
            <w:tcBorders/>
            <w:vAlign w:val="bottom"/>
          </w:tcPr>
          <w:p>
            <w:pPr>
              <w:pStyle w:val="Normal"/>
              <w:snapToGrid w:val="false"/>
              <w:jc w:val="center"/>
              <w:rPr>
                <w:rFonts w:ascii="Arial" w:hAnsi="Arial" w:cs="Arial"/>
                <w:b/>
                <w:bCs/>
                <w:i/>
                <w:i/>
                <w:iCs/>
                <w:sz w:val="12"/>
              </w:rPr>
            </w:pPr>
            <w:r>
              <w:rPr>
                <w:rFonts w:cs="Arial" w:ascii="Arial" w:hAnsi="Arial"/>
                <w:b/>
                <w:bCs/>
                <w:i/>
                <w:iCs/>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Sep-02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Apr-02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Apr-02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Nov-02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Apr-02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Oct-02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May-02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Dec-02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May-02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Nov-02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Jun-02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Jun-02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Jan-03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Jun-02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Dec-02</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Jul-02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Jul-02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Feb-03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Jul-02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Jan-03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Aug-02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Aug-02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jc w:val="end"/>
              <w:rPr>
                <w:rFonts w:ascii="Arial" w:hAnsi="Arial" w:cs="Arial"/>
                <w:sz w:val="12"/>
              </w:rPr>
            </w:pPr>
            <w:r>
              <w:rPr>
                <w:rFonts w:cs="Arial" w:ascii="Arial" w:hAnsi="Arial"/>
                <w:sz w:val="12"/>
              </w:rPr>
              <w:t>Mar-03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3.500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Aug-02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Feb-03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Sep-02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Sep-02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Sep-02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Mar-03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Oct-02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Oct-02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Oct-02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Apr-03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Nov-02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Nov-02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Nov-02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May-03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Dec-02</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2.390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Dec-02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Dec-02</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Jun-03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Jan-03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Jan-03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2880" w:type="dxa"/>
            <w:gridSpan w:val="4"/>
            <w:tcBorders/>
            <w:vAlign w:val="bottom"/>
          </w:tcPr>
          <w:p>
            <w:pPr>
              <w:pStyle w:val="Normal"/>
              <w:rPr>
                <w:rFonts w:ascii="Arial" w:hAnsi="Arial" w:cs="Arial"/>
                <w:b/>
                <w:bCs/>
                <w:i/>
                <w:i/>
                <w:iCs/>
                <w:sz w:val="12"/>
              </w:rPr>
            </w:pPr>
            <w:r>
              <w:rPr>
                <w:rFonts w:cs="Arial" w:ascii="Arial" w:hAnsi="Arial"/>
                <w:b/>
                <w:bCs/>
                <w:i/>
                <w:iCs/>
                <w:sz w:val="12"/>
              </w:rPr>
              <w:t>Entex contract price is $3.50 + .769.</w:t>
            </w:r>
          </w:p>
        </w:tc>
        <w:tc>
          <w:tcPr>
            <w:tcW w:w="2806"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Jan-03</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Jul-03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Feb-03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Feb-03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Feb-03</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Aug-03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Mar-03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Mar-03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Mar-03</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jc w:val="end"/>
              <w:rPr>
                <w:rFonts w:ascii="Arial" w:hAnsi="Arial" w:cs="Arial"/>
                <w:sz w:val="12"/>
              </w:rPr>
            </w:pPr>
            <w:r>
              <w:rPr>
                <w:rFonts w:cs="Arial" w:ascii="Arial" w:hAnsi="Arial"/>
                <w:sz w:val="12"/>
              </w:rPr>
              <w:t>Sep-03</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$3.9225 </w:t>
            </w:r>
          </w:p>
        </w:tc>
        <w:tc>
          <w:tcPr>
            <w:tcW w:w="93" w:type="dxa"/>
            <w:tcBorders/>
            <w:vAlign w:val="bottom"/>
          </w:tcPr>
          <w:p>
            <w:pPr>
              <w:pStyle w:val="Normal"/>
              <w:jc w:val="center"/>
              <w:rPr>
                <w:rFonts w:ascii="Arial" w:hAnsi="Arial" w:cs="Arial"/>
                <w:sz w:val="12"/>
              </w:rPr>
            </w:pPr>
            <w:r>
              <w:rPr>
                <w:rFonts w:cs="Arial" w:ascii="Arial" w:hAnsi="Arial"/>
                <w:sz w:val="12"/>
              </w:rPr>
              <w:t>HSC</w:t>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Apr-03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Apr-03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Apr-03</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May-03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jc w:val="end"/>
              <w:rPr>
                <w:rFonts w:ascii="Arial" w:hAnsi="Arial" w:cs="Arial"/>
                <w:sz w:val="12"/>
              </w:rPr>
            </w:pPr>
            <w:r>
              <w:rPr>
                <w:rFonts w:cs="Arial" w:ascii="Arial" w:hAnsi="Arial"/>
                <w:sz w:val="12"/>
              </w:rPr>
              <w:t>May-03</w:t>
            </w:r>
          </w:p>
        </w:tc>
        <w:tc>
          <w:tcPr>
            <w:tcW w:w="51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93"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93" w:type="dxa"/>
            <w:tcBorders/>
            <w:vAlign w:val="bottom"/>
          </w:tcPr>
          <w:p>
            <w:pPr>
              <w:pStyle w:val="Normal"/>
              <w:jc w:val="center"/>
              <w:rPr>
                <w:rFonts w:ascii="Arial" w:hAnsi="Arial" w:cs="Arial"/>
                <w:sz w:val="12"/>
              </w:rPr>
            </w:pPr>
            <w:r>
              <w:rPr>
                <w:rFonts w:cs="Arial" w:ascii="Arial" w:hAnsi="Arial"/>
                <w:sz w:val="12"/>
              </w:rPr>
              <w:t>HSC</w:t>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Jun-03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Jun-03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(10,000)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3.355 </w:t>
            </w:r>
          </w:p>
        </w:tc>
        <w:tc>
          <w:tcPr>
            <w:tcW w:w="810" w:type="dxa"/>
            <w:tcBorders/>
            <w:vAlign w:val="bottom"/>
          </w:tcPr>
          <w:p>
            <w:pPr>
              <w:pStyle w:val="Normal"/>
              <w:jc w:val="center"/>
              <w:rPr>
                <w:rFonts w:ascii="Arial" w:hAnsi="Arial" w:cs="Arial"/>
                <w:sz w:val="12"/>
              </w:rPr>
            </w:pPr>
            <w:r>
              <w:rPr>
                <w:rFonts w:cs="Arial" w:ascii="Arial" w:hAnsi="Arial"/>
                <w:sz w:val="12"/>
              </w:rPr>
              <w:t>HSC</w:t>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372" w:type="dxa"/>
            <w:gridSpan w:val="4"/>
            <w:tcBorders/>
            <w:vAlign w:val="bottom"/>
          </w:tcPr>
          <w:p>
            <w:pPr>
              <w:pStyle w:val="Normal"/>
              <w:rPr>
                <w:rFonts w:ascii="Arial" w:hAnsi="Arial" w:cs="Arial"/>
                <w:b/>
                <w:bCs/>
                <w:i/>
                <w:i/>
                <w:iCs/>
                <w:sz w:val="12"/>
              </w:rPr>
            </w:pPr>
            <w:r>
              <w:rPr>
                <w:rFonts w:cs="Arial" w:ascii="Arial" w:hAnsi="Arial"/>
                <w:b/>
                <w:bCs/>
                <w:i/>
                <w:iCs/>
                <w:sz w:val="12"/>
              </w:rPr>
              <w:t>Entex contract price is $3.9225 + $.769</w:t>
            </w:r>
          </w:p>
        </w:tc>
      </w:tr>
      <w:tr>
        <w:trPr>
          <w:trHeight w:val="173" w:hRule="exact"/>
        </w:trPr>
        <w:tc>
          <w:tcPr>
            <w:tcW w:w="556"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540" w:type="dxa"/>
            <w:tcBorders/>
            <w:vAlign w:val="bottom"/>
          </w:tcPr>
          <w:p>
            <w:pPr>
              <w:pStyle w:val="Normal"/>
              <w:jc w:val="end"/>
              <w:rPr>
                <w:rFonts w:ascii="Arial" w:hAnsi="Arial" w:cs="Arial"/>
                <w:sz w:val="12"/>
              </w:rPr>
            </w:pPr>
            <w:r>
              <w:rPr>
                <w:rFonts w:cs="Arial" w:ascii="Arial" w:hAnsi="Arial"/>
                <w:sz w:val="12"/>
              </w:rPr>
              <w:t>Jul-03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Aug-03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2700" w:type="dxa"/>
            <w:gridSpan w:val="4"/>
            <w:tcBorders/>
            <w:vAlign w:val="bottom"/>
          </w:tcPr>
          <w:p>
            <w:pPr>
              <w:pStyle w:val="Normal"/>
              <w:rPr>
                <w:rFonts w:ascii="Arial" w:hAnsi="Arial" w:cs="Arial"/>
                <w:b/>
                <w:bCs/>
                <w:i/>
                <w:i/>
                <w:iCs/>
                <w:sz w:val="12"/>
              </w:rPr>
            </w:pPr>
            <w:r>
              <w:rPr>
                <w:rFonts w:cs="Arial" w:ascii="Arial" w:hAnsi="Arial"/>
                <w:b/>
                <w:bCs/>
                <w:i/>
                <w:iCs/>
                <w:sz w:val="12"/>
              </w:rPr>
              <w:t>Entex contract price is $3.355 + .769.</w:t>
            </w:r>
          </w:p>
        </w:tc>
        <w:tc>
          <w:tcPr>
            <w:tcW w:w="18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2378" w:type="dxa"/>
            <w:gridSpan w:val="4"/>
            <w:tcBorders/>
            <w:vAlign w:val="bottom"/>
          </w:tcPr>
          <w:p>
            <w:pPr>
              <w:pStyle w:val="Normal"/>
              <w:rPr>
                <w:rFonts w:ascii="Arial" w:hAnsi="Arial" w:cs="Arial"/>
                <w:b/>
                <w:bCs/>
                <w:i/>
                <w:i/>
                <w:iCs/>
                <w:sz w:val="12"/>
              </w:rPr>
            </w:pPr>
            <w:r>
              <w:rPr>
                <w:rFonts w:cs="Arial" w:ascii="Arial" w:hAnsi="Arial"/>
                <w:b/>
                <w:bCs/>
                <w:i/>
                <w:iCs/>
                <w:sz w:val="12"/>
              </w:rPr>
              <w:t>Entex contract price is $3.605 + .769.</w:t>
            </w:r>
          </w:p>
        </w:tc>
        <w:tc>
          <w:tcPr>
            <w:tcW w:w="93"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Sep-03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Oct-03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jc w:val="center"/>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Nov-03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Dec-03</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Jan-04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Feb-04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Mar-04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Apr-04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May-04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Jun-04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Jul-04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Aug-04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Sep-04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Oct-04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Nov-04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Dec-04</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2.490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Jan-05</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2.540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Feb-05</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2.540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jc w:val="end"/>
              <w:rPr>
                <w:rFonts w:ascii="Arial" w:hAnsi="Arial" w:cs="Arial"/>
                <w:sz w:val="12"/>
              </w:rPr>
            </w:pPr>
            <w:r>
              <w:rPr>
                <w:rFonts w:cs="Arial" w:ascii="Arial" w:hAnsi="Arial"/>
                <w:sz w:val="12"/>
              </w:rPr>
              <w:t>Mar-05</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(35,000)</w:t>
            </w:r>
          </w:p>
        </w:tc>
        <w:tc>
          <w:tcPr>
            <w:tcW w:w="72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2.540 </w:t>
            </w:r>
          </w:p>
        </w:tc>
        <w:tc>
          <w:tcPr>
            <w:tcW w:w="720" w:type="dxa"/>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r>
        <w:trPr>
          <w:trHeight w:val="173" w:hRule="exact"/>
        </w:trPr>
        <w:tc>
          <w:tcPr>
            <w:tcW w:w="556" w:type="dxa"/>
            <w:tcBorders/>
            <w:vAlign w:val="bottom"/>
          </w:tcPr>
          <w:p>
            <w:pPr>
              <w:pStyle w:val="Normal"/>
              <w:snapToGrid w:val="false"/>
              <w:rPr>
                <w:rFonts w:ascii="Arial" w:hAnsi="Arial" w:cs="Arial"/>
                <w:sz w:val="12"/>
              </w:rPr>
            </w:pPr>
            <w:r>
              <w:rPr>
                <w:rFonts w:cs="Arial" w:ascii="Arial" w:hAnsi="Arial"/>
                <w:sz w:val="12"/>
              </w:rPr>
            </w:r>
          </w:p>
        </w:tc>
        <w:tc>
          <w:tcPr>
            <w:tcW w:w="1980" w:type="dxa"/>
            <w:gridSpan w:val="3"/>
            <w:tcBorders/>
            <w:vAlign w:val="bottom"/>
          </w:tcPr>
          <w:p>
            <w:pPr>
              <w:pStyle w:val="Normal"/>
              <w:rPr>
                <w:rFonts w:ascii="Arial" w:hAnsi="Arial" w:cs="Arial"/>
                <w:b/>
                <w:bCs/>
                <w:i/>
                <w:i/>
                <w:iCs/>
                <w:sz w:val="12"/>
              </w:rPr>
            </w:pPr>
            <w:r>
              <w:rPr>
                <w:rFonts w:cs="Arial" w:ascii="Arial" w:hAnsi="Arial"/>
                <w:b/>
                <w:bCs/>
                <w:i/>
                <w:iCs/>
                <w:sz w:val="12"/>
              </w:rPr>
              <w:t>This volume tier is firm</w:t>
            </w:r>
          </w:p>
        </w:tc>
        <w:tc>
          <w:tcPr>
            <w:tcW w:w="72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180" w:type="dxa"/>
            <w:tcBorders/>
            <w:vAlign w:val="bottom"/>
          </w:tcPr>
          <w:p>
            <w:pPr>
              <w:pStyle w:val="Normal"/>
              <w:snapToGrid w:val="false"/>
              <w:rPr>
                <w:rFonts w:ascii="Arial" w:hAnsi="Arial" w:cs="Arial"/>
                <w:sz w:val="12"/>
              </w:rPr>
            </w:pPr>
            <w:r>
              <w:rPr>
                <w:rFonts w:cs="Arial" w:ascii="Arial" w:hAnsi="Arial"/>
                <w:sz w:val="12"/>
              </w:rPr>
            </w:r>
          </w:p>
        </w:tc>
        <w:tc>
          <w:tcPr>
            <w:tcW w:w="45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72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tcBorders/>
            <w:vAlign w:val="bottom"/>
          </w:tcPr>
          <w:p>
            <w:pPr>
              <w:pStyle w:val="Normal"/>
              <w:snapToGrid w:val="false"/>
              <w:rPr>
                <w:rFonts w:ascii="Arial" w:hAnsi="Arial" w:cs="Arial"/>
                <w:sz w:val="12"/>
              </w:rPr>
            </w:pPr>
            <w:r>
              <w:rPr>
                <w:rFonts w:cs="Arial" w:ascii="Arial" w:hAnsi="Arial"/>
                <w:sz w:val="12"/>
              </w:rPr>
            </w:r>
          </w:p>
        </w:tc>
        <w:tc>
          <w:tcPr>
            <w:tcW w:w="2806"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1682" w:type="dxa"/>
            <w:tcBorders/>
            <w:vAlign w:val="bottom"/>
          </w:tcPr>
          <w:p>
            <w:pPr>
              <w:pStyle w:val="Normal"/>
              <w:snapToGrid w:val="false"/>
              <w:rPr>
                <w:rFonts w:ascii="Arial" w:hAnsi="Arial" w:cs="Arial"/>
                <w:sz w:val="12"/>
              </w:rPr>
            </w:pPr>
            <w:r>
              <w:rPr>
                <w:rFonts w:cs="Arial" w:ascii="Arial" w:hAnsi="Arial"/>
                <w:sz w:val="12"/>
              </w:rPr>
            </w:r>
          </w:p>
        </w:tc>
        <w:tc>
          <w:tcPr>
            <w:tcW w:w="510"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c>
          <w:tcPr>
            <w:tcW w:w="93" w:type="dxa"/>
            <w:tcBorders/>
            <w:vAlign w:val="bottom"/>
          </w:tcPr>
          <w:p>
            <w:pPr>
              <w:pStyle w:val="Normal"/>
              <w:snapToGrid w:val="false"/>
              <w:rPr>
                <w:rFonts w:ascii="Arial" w:hAnsi="Arial" w:cs="Arial"/>
                <w:sz w:val="12"/>
              </w:rPr>
            </w:pPr>
            <w:r>
              <w:rPr>
                <w:rFonts w:cs="Arial" w:ascii="Arial" w:hAnsi="Arial"/>
                <w:sz w:val="12"/>
              </w:rPr>
            </w:r>
          </w:p>
        </w:tc>
      </w:tr>
    </w:tbl>
    <w:p>
      <w:pPr>
        <w:sectPr>
          <w:headerReference w:type="default" r:id="rId16"/>
          <w:headerReference w:type="first" r:id="rId17"/>
          <w:footerReference w:type="default" r:id="rId18"/>
          <w:footerReference w:type="first" r:id="rId19"/>
          <w:type w:val="nextPage"/>
          <w:pgSz w:orient="landscape" w:w="15840" w:h="12240"/>
          <w:pgMar w:left="504" w:right="504" w:gutter="0" w:header="720" w:top="776" w:footer="720" w:bottom="776"/>
          <w:pgNumType w:fmt="decimal"/>
          <w:formProt w:val="false"/>
          <w:textDirection w:val="lrTb"/>
          <w:docGrid w:type="default" w:linePitch="360" w:charSpace="0"/>
        </w:sectPr>
        <w:pStyle w:val="Normal"/>
        <w:rPr>
          <w:sz w:val="10"/>
        </w:rPr>
      </w:pPr>
      <w:r>
        <w:rPr>
          <w:sz w:val="10"/>
        </w:rPr>
      </w:r>
    </w:p>
    <w:tbl>
      <w:tblPr>
        <w:tblW w:w="22733" w:type="dxa"/>
        <w:jc w:val="start"/>
        <w:tblInd w:w="0" w:type="dxa"/>
        <w:tblLayout w:type="fixed"/>
        <w:tblCellMar>
          <w:top w:w="12" w:type="dxa"/>
          <w:start w:w="12" w:type="dxa"/>
          <w:bottom w:w="0" w:type="dxa"/>
          <w:end w:w="12" w:type="dxa"/>
        </w:tblCellMar>
      </w:tblPr>
      <w:tblGrid>
        <w:gridCol w:w="460"/>
        <w:gridCol w:w="448"/>
        <w:gridCol w:w="448"/>
        <w:gridCol w:w="448"/>
        <w:gridCol w:w="718"/>
        <w:gridCol w:w="89"/>
        <w:gridCol w:w="631"/>
        <w:gridCol w:w="270"/>
        <w:gridCol w:w="44"/>
        <w:gridCol w:w="44"/>
        <w:gridCol w:w="452"/>
        <w:gridCol w:w="630"/>
        <w:gridCol w:w="630"/>
        <w:gridCol w:w="630"/>
        <w:gridCol w:w="450"/>
        <w:gridCol w:w="360"/>
        <w:gridCol w:w="630"/>
        <w:gridCol w:w="460"/>
        <w:gridCol w:w="529"/>
        <w:gridCol w:w="271"/>
        <w:gridCol w:w="630"/>
        <w:gridCol w:w="44"/>
        <w:gridCol w:w="44"/>
        <w:gridCol w:w="44"/>
        <w:gridCol w:w="678"/>
        <w:gridCol w:w="540"/>
        <w:gridCol w:w="90"/>
        <w:gridCol w:w="90"/>
        <w:gridCol w:w="450"/>
        <w:gridCol w:w="550"/>
        <w:gridCol w:w="630"/>
        <w:gridCol w:w="720"/>
        <w:gridCol w:w="630"/>
        <w:gridCol w:w="2245"/>
        <w:gridCol w:w="958"/>
        <w:gridCol w:w="958"/>
        <w:gridCol w:w="958"/>
        <w:gridCol w:w="1016"/>
        <w:gridCol w:w="900"/>
        <w:gridCol w:w="958"/>
        <w:gridCol w:w="958"/>
      </w:tblGrid>
      <w:tr>
        <w:trPr>
          <w:trHeight w:val="255" w:hRule="atLeast"/>
        </w:trPr>
        <w:tc>
          <w:tcPr>
            <w:tcW w:w="460" w:type="dxa"/>
            <w:tcBorders/>
            <w:vAlign w:val="bottom"/>
          </w:tcPr>
          <w:p>
            <w:pPr>
              <w:pStyle w:val="Normal"/>
              <w:snapToGrid w:val="false"/>
              <w:rPr>
                <w:rFonts w:ascii="Arial" w:hAnsi="Arial" w:cs="Arial"/>
                <w:b/>
                <w:bCs/>
                <w:sz w:val="12"/>
              </w:rPr>
            </w:pPr>
            <w:r>
              <w:rPr>
                <w:rFonts w:cs="Arial" w:ascii="Arial" w:hAnsi="Arial"/>
                <w:b/>
                <w:bCs/>
                <w:sz w:val="12"/>
              </w:rPr>
            </w:r>
          </w:p>
        </w:tc>
        <w:tc>
          <w:tcPr>
            <w:tcW w:w="448" w:type="dxa"/>
            <w:tcBorders/>
            <w:vAlign w:val="bottom"/>
          </w:tcPr>
          <w:p>
            <w:pPr>
              <w:pStyle w:val="Normal"/>
              <w:snapToGrid w:val="false"/>
              <w:rPr>
                <w:rFonts w:ascii="Arial" w:hAnsi="Arial" w:cs="Arial"/>
                <w:b/>
                <w:bCs/>
                <w:sz w:val="12"/>
              </w:rPr>
            </w:pPr>
            <w:r>
              <w:rPr>
                <w:rFonts w:cs="Arial" w:ascii="Arial" w:hAnsi="Arial"/>
                <w:b/>
                <w:bCs/>
                <w:sz w:val="12"/>
              </w:rPr>
            </w:r>
          </w:p>
        </w:tc>
        <w:tc>
          <w:tcPr>
            <w:tcW w:w="1614" w:type="dxa"/>
            <w:gridSpan w:val="3"/>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720" w:type="dxa"/>
            <w:gridSpan w:val="2"/>
            <w:tcBorders/>
            <w:vAlign w:val="bottom"/>
          </w:tcPr>
          <w:p>
            <w:pPr>
              <w:pStyle w:val="Normal"/>
              <w:snapToGrid w:val="false"/>
              <w:rPr>
                <w:rFonts w:ascii="Arial" w:hAnsi="Arial" w:cs="Arial"/>
                <w:b/>
                <w:bCs/>
                <w:sz w:val="12"/>
              </w:rPr>
            </w:pPr>
            <w:r>
              <w:rPr>
                <w:rFonts w:cs="Arial" w:ascii="Arial" w:hAnsi="Arial"/>
                <w:b/>
                <w:bCs/>
                <w:sz w:val="12"/>
              </w:rPr>
            </w:r>
          </w:p>
        </w:tc>
        <w:tc>
          <w:tcPr>
            <w:tcW w:w="270"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gridSpan w:val="3"/>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1260"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810" w:type="dxa"/>
            <w:gridSpan w:val="2"/>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460" w:type="dxa"/>
            <w:tcBorders/>
            <w:vAlign w:val="bottom"/>
          </w:tcPr>
          <w:p>
            <w:pPr>
              <w:pStyle w:val="Normal"/>
              <w:snapToGrid w:val="false"/>
              <w:rPr>
                <w:rFonts w:ascii="Arial" w:hAnsi="Arial" w:cs="Arial"/>
                <w:b/>
                <w:bCs/>
                <w:sz w:val="12"/>
              </w:rPr>
            </w:pPr>
            <w:r>
              <w:rPr>
                <w:rFonts w:cs="Arial" w:ascii="Arial" w:hAnsi="Arial"/>
                <w:b/>
                <w:bCs/>
                <w:sz w:val="12"/>
              </w:rPr>
            </w:r>
          </w:p>
        </w:tc>
        <w:tc>
          <w:tcPr>
            <w:tcW w:w="800" w:type="dxa"/>
            <w:gridSpan w:val="2"/>
            <w:tcBorders/>
            <w:vAlign w:val="bottom"/>
          </w:tcPr>
          <w:p>
            <w:pPr>
              <w:pStyle w:val="Normal"/>
              <w:snapToGrid w:val="false"/>
              <w:rPr>
                <w:rFonts w:ascii="Arial" w:hAnsi="Arial" w:cs="Arial"/>
                <w:b/>
                <w:bCs/>
                <w:sz w:val="12"/>
              </w:rPr>
            </w:pPr>
            <w:r>
              <w:rPr>
                <w:rFonts w:cs="Arial" w:ascii="Arial" w:hAnsi="Arial"/>
                <w:b/>
                <w:bCs/>
                <w:sz w:val="12"/>
              </w:rPr>
            </w:r>
          </w:p>
        </w:tc>
        <w:tc>
          <w:tcPr>
            <w:tcW w:w="1440" w:type="dxa"/>
            <w:gridSpan w:val="5"/>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Contract Number </w:t>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gridSpan w:val="2"/>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45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55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1350" w:type="dxa"/>
            <w:gridSpan w:val="2"/>
            <w:tcBorders/>
            <w:tcMar>
              <w:top w:w="0" w:type="dxa"/>
              <w:start w:w="0" w:type="dxa"/>
              <w:end w:w="0" w:type="dxa"/>
            </w:tcMar>
            <w:vAlign w:val="bottom"/>
          </w:tcPr>
          <w:p>
            <w:pPr>
              <w:pStyle w:val="Normal"/>
              <w:rPr>
                <w:rFonts w:ascii="Arial" w:hAnsi="Arial" w:cs="Arial"/>
                <w:b/>
                <w:bCs/>
                <w:sz w:val="12"/>
              </w:rPr>
            </w:pPr>
            <w:r>
              <w:rPr>
                <w:rFonts w:cs="Arial" w:ascii="Arial" w:hAnsi="Arial"/>
                <w:b/>
                <w:bCs/>
                <w:sz w:val="12"/>
              </w:rPr>
              <w:t>Contract Number</w:t>
            </w:r>
          </w:p>
        </w:tc>
        <w:tc>
          <w:tcPr>
            <w:tcW w:w="63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2245"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1916" w:type="dxa"/>
            <w:gridSpan w:val="2"/>
            <w:tcBorders/>
            <w:vAlign w:val="bottom"/>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Contract Number </w:t>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r>
      <w:tr>
        <w:trPr>
          <w:trHeight w:val="255" w:hRule="atLeast"/>
        </w:trPr>
        <w:tc>
          <w:tcPr>
            <w:tcW w:w="460" w:type="dxa"/>
            <w:tcBorders/>
            <w:vAlign w:val="bottom"/>
          </w:tcPr>
          <w:p>
            <w:pPr>
              <w:pStyle w:val="Normal"/>
              <w:snapToGrid w:val="false"/>
              <w:rPr>
                <w:rFonts w:ascii="Arial" w:hAnsi="Arial" w:cs="Arial"/>
                <w:b/>
                <w:bCs/>
                <w:sz w:val="12"/>
              </w:rPr>
            </w:pPr>
            <w:r>
              <w:rPr>
                <w:rFonts w:cs="Arial" w:ascii="Arial" w:hAnsi="Arial"/>
                <w:b/>
                <w:bCs/>
                <w:sz w:val="12"/>
              </w:rPr>
            </w:r>
          </w:p>
        </w:tc>
        <w:tc>
          <w:tcPr>
            <w:tcW w:w="448" w:type="dxa"/>
            <w:tcBorders/>
            <w:vAlign w:val="bottom"/>
          </w:tcPr>
          <w:p>
            <w:pPr>
              <w:pStyle w:val="Normal"/>
              <w:snapToGrid w:val="false"/>
              <w:rPr>
                <w:rFonts w:ascii="Arial" w:hAnsi="Arial" w:cs="Arial"/>
                <w:b/>
                <w:bCs/>
                <w:sz w:val="12"/>
              </w:rPr>
            </w:pPr>
            <w:r>
              <w:rPr>
                <w:rFonts w:cs="Arial" w:ascii="Arial" w:hAnsi="Arial"/>
                <w:b/>
                <w:bCs/>
                <w:sz w:val="12"/>
              </w:rPr>
            </w:r>
          </w:p>
        </w:tc>
        <w:tc>
          <w:tcPr>
            <w:tcW w:w="896" w:type="dxa"/>
            <w:gridSpan w:val="2"/>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718" w:type="dxa"/>
            <w:tcBorders/>
            <w:vAlign w:val="bottom"/>
          </w:tcPr>
          <w:p>
            <w:pPr>
              <w:pStyle w:val="Normal"/>
              <w:snapToGrid w:val="false"/>
              <w:rPr>
                <w:rFonts w:ascii="Arial" w:hAnsi="Arial" w:cs="Arial"/>
                <w:b/>
                <w:bCs/>
                <w:sz w:val="12"/>
              </w:rPr>
            </w:pPr>
            <w:r>
              <w:rPr>
                <w:rFonts w:cs="Arial" w:ascii="Arial" w:hAnsi="Arial"/>
                <w:b/>
                <w:bCs/>
                <w:sz w:val="12"/>
              </w:rPr>
            </w:r>
          </w:p>
        </w:tc>
        <w:tc>
          <w:tcPr>
            <w:tcW w:w="720" w:type="dxa"/>
            <w:gridSpan w:val="2"/>
            <w:tcBorders/>
            <w:vAlign w:val="bottom"/>
          </w:tcPr>
          <w:p>
            <w:pPr>
              <w:pStyle w:val="Normal"/>
              <w:snapToGrid w:val="false"/>
              <w:rPr>
                <w:rFonts w:ascii="Arial" w:hAnsi="Arial" w:cs="Arial"/>
                <w:b/>
                <w:bCs/>
                <w:sz w:val="12"/>
              </w:rPr>
            </w:pPr>
            <w:r>
              <w:rPr>
                <w:rFonts w:cs="Arial" w:ascii="Arial" w:hAnsi="Arial"/>
                <w:b/>
                <w:bCs/>
                <w:sz w:val="12"/>
              </w:rPr>
            </w:r>
          </w:p>
        </w:tc>
        <w:tc>
          <w:tcPr>
            <w:tcW w:w="270" w:type="dxa"/>
            <w:tcBorders/>
            <w:vAlign w:val="bottom"/>
          </w:tcPr>
          <w:p>
            <w:pPr>
              <w:pStyle w:val="Normal"/>
              <w:snapToGrid w:val="false"/>
              <w:rPr>
                <w:rFonts w:ascii="Arial" w:hAnsi="Arial" w:cs="Arial"/>
                <w:b/>
                <w:bCs/>
                <w:sz w:val="12"/>
              </w:rPr>
            </w:pPr>
            <w:r>
              <w:rPr>
                <w:rFonts w:cs="Arial" w:ascii="Arial" w:hAnsi="Arial"/>
                <w:b/>
                <w:bCs/>
                <w:sz w:val="12"/>
              </w:rPr>
            </w:r>
          </w:p>
        </w:tc>
        <w:tc>
          <w:tcPr>
            <w:tcW w:w="540" w:type="dxa"/>
            <w:gridSpan w:val="3"/>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96019120 </w:t>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810" w:type="dxa"/>
            <w:gridSpan w:val="2"/>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snapToGrid w:val="false"/>
              <w:rPr>
                <w:rFonts w:ascii="Arial" w:hAnsi="Arial" w:cs="Arial"/>
                <w:b/>
                <w:bCs/>
                <w:sz w:val="12"/>
              </w:rPr>
            </w:pPr>
            <w:r>
              <w:rPr>
                <w:rFonts w:cs="Arial" w:ascii="Arial" w:hAnsi="Arial"/>
                <w:b/>
                <w:bCs/>
                <w:sz w:val="12"/>
              </w:rPr>
            </w:r>
          </w:p>
        </w:tc>
        <w:tc>
          <w:tcPr>
            <w:tcW w:w="460" w:type="dxa"/>
            <w:tcBorders/>
            <w:vAlign w:val="bottom"/>
          </w:tcPr>
          <w:p>
            <w:pPr>
              <w:pStyle w:val="Normal"/>
              <w:snapToGrid w:val="false"/>
              <w:rPr>
                <w:rFonts w:ascii="Arial" w:hAnsi="Arial" w:cs="Arial"/>
                <w:b/>
                <w:bCs/>
                <w:sz w:val="12"/>
              </w:rPr>
            </w:pPr>
            <w:r>
              <w:rPr>
                <w:rFonts w:cs="Arial" w:ascii="Arial" w:hAnsi="Arial"/>
                <w:b/>
                <w:bCs/>
                <w:sz w:val="12"/>
              </w:rPr>
            </w:r>
          </w:p>
        </w:tc>
        <w:tc>
          <w:tcPr>
            <w:tcW w:w="800" w:type="dxa"/>
            <w:gridSpan w:val="2"/>
            <w:tcBorders/>
            <w:vAlign w:val="bottom"/>
          </w:tcPr>
          <w:p>
            <w:pPr>
              <w:pStyle w:val="Normal"/>
              <w:snapToGrid w:val="false"/>
              <w:rPr>
                <w:rFonts w:ascii="Arial" w:hAnsi="Arial" w:cs="Arial"/>
                <w:b/>
                <w:bCs/>
                <w:sz w:val="12"/>
              </w:rPr>
            </w:pPr>
            <w:r>
              <w:rPr>
                <w:rFonts w:cs="Arial" w:ascii="Arial" w:hAnsi="Arial"/>
                <w:b/>
                <w:bCs/>
                <w:sz w:val="12"/>
              </w:rPr>
            </w:r>
          </w:p>
        </w:tc>
        <w:tc>
          <w:tcPr>
            <w:tcW w:w="630" w:type="dxa"/>
            <w:tcBorders/>
            <w:vAlign w:val="bottom"/>
          </w:tcPr>
          <w:p>
            <w:pPr>
              <w:pStyle w:val="Normal"/>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96004597 </w:t>
            </w:r>
          </w:p>
        </w:tc>
        <w:tc>
          <w:tcPr>
            <w:tcW w:w="810" w:type="dxa"/>
            <w:gridSpan w:val="4"/>
            <w:tcBorders/>
            <w:vAlign w:val="bottom"/>
          </w:tcPr>
          <w:p>
            <w:pPr>
              <w:pStyle w:val="Normal"/>
              <w:snapToGrid w:val="false"/>
              <w:rPr>
                <w:rFonts w:ascii="Arial" w:hAnsi="Arial" w:cs="Arial"/>
                <w:b/>
                <w:bCs/>
                <w:sz w:val="12"/>
              </w:rPr>
            </w:pPr>
            <w:r>
              <w:rPr>
                <w:rFonts w:cs="Arial" w:ascii="Arial" w:hAnsi="Arial"/>
                <w:b/>
                <w:bCs/>
                <w:sz w:val="12"/>
              </w:rPr>
            </w:r>
          </w:p>
        </w:tc>
        <w:tc>
          <w:tcPr>
            <w:tcW w:w="540" w:type="dxa"/>
            <w:tcBorders/>
            <w:vAlign w:val="bottom"/>
          </w:tcPr>
          <w:p>
            <w:pPr>
              <w:pStyle w:val="Normal"/>
              <w:snapToGrid w:val="false"/>
              <w:rPr>
                <w:rFonts w:ascii="Arial" w:hAnsi="Arial" w:cs="Arial"/>
                <w:b/>
                <w:bCs/>
                <w:sz w:val="12"/>
              </w:rPr>
            </w:pPr>
            <w:r>
              <w:rPr>
                <w:rFonts w:cs="Arial" w:ascii="Arial" w:hAnsi="Arial"/>
                <w:b/>
                <w:bCs/>
                <w:sz w:val="12"/>
              </w:rPr>
            </w:r>
          </w:p>
        </w:tc>
        <w:tc>
          <w:tcPr>
            <w:tcW w:w="180" w:type="dxa"/>
            <w:gridSpan w:val="2"/>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45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55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630" w:type="dxa"/>
            <w:tcBorders/>
            <w:tcMar>
              <w:top w:w="0" w:type="dxa"/>
              <w:start w:w="0" w:type="dxa"/>
              <w:end w:w="0" w:type="dxa"/>
            </w:tcMar>
            <w:vAlign w:val="bottom"/>
          </w:tcPr>
          <w:p>
            <w:pPr>
              <w:pStyle w:val="Normal"/>
              <w:rPr>
                <w:rFonts w:ascii="Arial" w:hAnsi="Arial" w:cs="Arial"/>
                <w:b/>
                <w:bCs/>
                <w:sz w:val="12"/>
              </w:rPr>
            </w:pPr>
            <w:r>
              <w:rPr>
                <w:rFonts w:cs="Arial" w:ascii="Arial" w:hAnsi="Arial"/>
                <w:b/>
                <w:bCs/>
                <w:sz w:val="12"/>
              </w:rPr>
              <w:t>96019120</w:t>
            </w:r>
          </w:p>
        </w:tc>
        <w:tc>
          <w:tcPr>
            <w:tcW w:w="72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630"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2245" w:type="dxa"/>
            <w:tcBorders/>
            <w:tcMar>
              <w:top w:w="0" w:type="dxa"/>
              <w:start w:w="0" w:type="dxa"/>
              <w:end w:w="0" w:type="dxa"/>
            </w:tcMar>
            <w:vAlign w:val="bottom"/>
          </w:tcPr>
          <w:p>
            <w:pPr>
              <w:pStyle w:val="Normal"/>
              <w:snapToGrid w:val="false"/>
              <w:rPr>
                <w:rFonts w:ascii="Arial" w:hAnsi="Arial" w:cs="Arial"/>
                <w:b/>
                <w:bCs/>
                <w:sz w:val="12"/>
              </w:rPr>
            </w:pPr>
            <w:r>
              <w:rPr>
                <w:rFonts w:cs="Arial" w:ascii="Arial" w:hAnsi="Arial"/>
                <w:b/>
                <w:bCs/>
                <w:sz w:val="12"/>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1016" w:type="dxa"/>
            <w:tcBorders/>
            <w:vAlign w:val="bottom"/>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96019120 </w:t>
            </w:r>
          </w:p>
        </w:tc>
        <w:tc>
          <w:tcPr>
            <w:tcW w:w="900"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r>
      <w:tr>
        <w:trPr>
          <w:trHeight w:val="255" w:hRule="atLeast"/>
        </w:trPr>
        <w:tc>
          <w:tcPr>
            <w:tcW w:w="460" w:type="dxa"/>
            <w:tcBorders/>
            <w:vAlign w:val="bottom"/>
          </w:tcPr>
          <w:p>
            <w:pPr>
              <w:pStyle w:val="Normal"/>
              <w:snapToGrid w:val="false"/>
              <w:rPr>
                <w:rFonts w:ascii="Arial" w:hAnsi="Arial" w:cs="Arial"/>
                <w:b/>
                <w:bCs/>
                <w:sz w:val="12"/>
              </w:rPr>
            </w:pPr>
            <w:r>
              <w:rPr>
                <w:rFonts w:cs="Arial" w:ascii="Arial" w:hAnsi="Arial"/>
                <w:b/>
                <w:bCs/>
                <w:sz w:val="12"/>
              </w:rPr>
            </w:r>
          </w:p>
        </w:tc>
        <w:tc>
          <w:tcPr>
            <w:tcW w:w="448"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718" w:type="dxa"/>
            <w:tcBorders/>
            <w:vAlign w:val="bottom"/>
          </w:tcPr>
          <w:p>
            <w:pPr>
              <w:pStyle w:val="Normal"/>
              <w:snapToGrid w:val="false"/>
              <w:rPr>
                <w:rFonts w:ascii="Arial" w:hAnsi="Arial" w:cs="Arial"/>
                <w:sz w:val="12"/>
              </w:rPr>
            </w:pPr>
            <w:r>
              <w:rPr>
                <w:rFonts w:cs="Arial" w:ascii="Arial" w:hAnsi="Arial"/>
                <w:sz w:val="12"/>
              </w:rPr>
            </w:r>
          </w:p>
        </w:tc>
        <w:tc>
          <w:tcPr>
            <w:tcW w:w="720" w:type="dxa"/>
            <w:gridSpan w:val="2"/>
            <w:tcBorders/>
            <w:vAlign w:val="bottom"/>
          </w:tcPr>
          <w:p>
            <w:pPr>
              <w:pStyle w:val="Normal"/>
              <w:snapToGrid w:val="false"/>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gridSpan w:val="2"/>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gridSpan w:val="4"/>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ind w:firstLine="12" w:start="-12" w:end="0"/>
              <w:rPr>
                <w:rFonts w:ascii="Arial" w:hAnsi="Arial" w:cs="Arial"/>
                <w:sz w:val="12"/>
              </w:rPr>
            </w:pPr>
            <w:r>
              <w:rPr>
                <w:rFonts w:cs="Arial" w:ascii="Arial" w:hAnsi="Arial"/>
                <w:sz w:val="12"/>
              </w:rPr>
            </w:r>
          </w:p>
        </w:tc>
        <w:tc>
          <w:tcPr>
            <w:tcW w:w="180" w:type="dxa"/>
            <w:gridSpan w:val="2"/>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720" w:type="dxa"/>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2245" w:type="dxa"/>
            <w:tcBorders/>
            <w:tcMar>
              <w:top w:w="0" w:type="dxa"/>
              <w:start w:w="0" w:type="dxa"/>
              <w:end w:w="0" w:type="dxa"/>
            </w:tcMar>
            <w:vAlign w:val="bottom"/>
          </w:tcPr>
          <w:p>
            <w:pPr>
              <w:pStyle w:val="Normal"/>
              <w:snapToGrid w:val="false"/>
              <w:ind w:firstLine="12" w:start="-12" w:end="0"/>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snapToGrid w:val="false"/>
              <w:rPr>
                <w:rFonts w:ascii="Arial" w:hAnsi="Arial" w:cs="Arial"/>
                <w:sz w:val="20"/>
              </w:rPr>
            </w:pPr>
            <w:r>
              <w:rPr>
                <w:rFonts w:cs="Arial" w:ascii="Arial" w:hAnsi="Arial"/>
                <w:sz w:val="20"/>
              </w:rPr>
            </w:r>
          </w:p>
        </w:tc>
        <w:tc>
          <w:tcPr>
            <w:tcW w:w="900"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48"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896" w:type="dxa"/>
            <w:gridSpan w:val="2"/>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718"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720" w:type="dxa"/>
            <w:gridSpan w:val="2"/>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27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40" w:type="dxa"/>
            <w:gridSpan w:val="3"/>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810" w:type="dxa"/>
            <w:gridSpan w:val="2"/>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Effective </w:t>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6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800" w:type="dxa"/>
            <w:gridSpan w:val="2"/>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Daily </w:t>
            </w:r>
          </w:p>
        </w:tc>
        <w:tc>
          <w:tcPr>
            <w:tcW w:w="810" w:type="dxa"/>
            <w:gridSpan w:val="4"/>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Fixed </w:t>
            </w:r>
          </w:p>
        </w:tc>
        <w:tc>
          <w:tcPr>
            <w:tcW w:w="540" w:type="dxa"/>
            <w:tcBorders/>
            <w:vAlign w:val="bottom"/>
          </w:tcPr>
          <w:p>
            <w:pPr>
              <w:pStyle w:val="Normal"/>
              <w:jc w:val="center"/>
              <w:rPr>
                <w:rFonts w:ascii="Arial" w:hAnsi="Arial" w:cs="Arial"/>
                <w:b/>
                <w:bCs/>
                <w:sz w:val="12"/>
              </w:rPr>
            </w:pPr>
            <w:r>
              <w:rPr>
                <w:rFonts w:cs="Arial" w:ascii="Arial" w:hAnsi="Arial"/>
                <w:b/>
                <w:bCs/>
                <w:sz w:val="12"/>
              </w:rPr>
              <w:t>Effective</w:t>
            </w:r>
          </w:p>
        </w:tc>
        <w:tc>
          <w:tcPr>
            <w:tcW w:w="180" w:type="dxa"/>
            <w:gridSpan w:val="2"/>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450" w:type="dxa"/>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550" w:type="dxa"/>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tcMar>
              <w:top w:w="0" w:type="dxa"/>
              <w:start w:w="0" w:type="dxa"/>
              <w:end w:w="0" w:type="dxa"/>
            </w:tcMar>
            <w:vAlign w:val="bottom"/>
          </w:tcPr>
          <w:p>
            <w:pPr>
              <w:pStyle w:val="Normal"/>
              <w:jc w:val="center"/>
              <w:rPr>
                <w:rFonts w:ascii="Arial" w:hAnsi="Arial" w:cs="Arial"/>
                <w:b/>
                <w:bCs/>
                <w:sz w:val="12"/>
              </w:rPr>
            </w:pPr>
            <w:r>
              <w:rPr>
                <w:rFonts w:cs="Arial" w:ascii="Arial" w:hAnsi="Arial"/>
                <w:b/>
                <w:bCs/>
                <w:sz w:val="12"/>
              </w:rPr>
              <w:t>Daily</w:t>
            </w:r>
          </w:p>
        </w:tc>
        <w:tc>
          <w:tcPr>
            <w:tcW w:w="720" w:type="dxa"/>
            <w:tcBorders/>
            <w:tcMar>
              <w:top w:w="0" w:type="dxa"/>
              <w:start w:w="0" w:type="dxa"/>
              <w:end w:w="0" w:type="dxa"/>
            </w:tcMar>
            <w:vAlign w:val="bottom"/>
          </w:tcPr>
          <w:p>
            <w:pPr>
              <w:pStyle w:val="Normal"/>
              <w:jc w:val="center"/>
              <w:rPr>
                <w:rFonts w:ascii="Arial" w:hAnsi="Arial" w:cs="Arial"/>
                <w:b/>
                <w:bCs/>
                <w:sz w:val="12"/>
              </w:rPr>
            </w:pPr>
            <w:r>
              <w:rPr>
                <w:rFonts w:cs="Arial" w:ascii="Arial" w:hAnsi="Arial"/>
                <w:b/>
                <w:bCs/>
                <w:sz w:val="12"/>
              </w:rPr>
              <w:t>Fixed</w:t>
            </w:r>
          </w:p>
        </w:tc>
        <w:tc>
          <w:tcPr>
            <w:tcW w:w="630" w:type="dxa"/>
            <w:tcBorders/>
            <w:tcMar>
              <w:top w:w="0" w:type="dxa"/>
              <w:start w:w="0" w:type="dxa"/>
              <w:end w:w="0" w:type="dxa"/>
            </w:tcMar>
            <w:vAlign w:val="bottom"/>
          </w:tcPr>
          <w:p>
            <w:pPr>
              <w:pStyle w:val="Normal"/>
              <w:jc w:val="center"/>
              <w:rPr>
                <w:rFonts w:ascii="Arial" w:hAnsi="Arial" w:cs="Arial"/>
                <w:b/>
                <w:bCs/>
                <w:sz w:val="12"/>
              </w:rPr>
            </w:pPr>
            <w:r>
              <w:rPr>
                <w:rFonts w:cs="Arial" w:ascii="Arial" w:hAnsi="Arial"/>
                <w:b/>
                <w:bCs/>
                <w:sz w:val="12"/>
              </w:rPr>
              <w:t xml:space="preserve">Effective </w:t>
            </w:r>
          </w:p>
        </w:tc>
        <w:tc>
          <w:tcPr>
            <w:tcW w:w="2245" w:type="dxa"/>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958" w:type="dxa"/>
            <w:tcBorders/>
            <w:vAlign w:val="bottom"/>
          </w:tcPr>
          <w:p>
            <w:pPr>
              <w:pStyle w:val="Normal"/>
              <w:snapToGrid w:val="false"/>
              <w:jc w:val="center"/>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b/>
                <w:bCs/>
                <w:sz w:val="20"/>
              </w:rPr>
            </w:pPr>
            <w:r>
              <w:rPr>
                <w:rFonts w:cs="Arial" w:ascii="Arial" w:hAnsi="Arial"/>
                <w:b/>
                <w:bCs/>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Daily </w:t>
            </w:r>
          </w:p>
        </w:tc>
        <w:tc>
          <w:tcPr>
            <w:tcW w:w="900" w:type="dxa"/>
            <w:tcBorders/>
            <w:vAlign w:val="bottom"/>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Fixed </w:t>
            </w:r>
          </w:p>
        </w:tc>
        <w:tc>
          <w:tcPr>
            <w:tcW w:w="958" w:type="dxa"/>
            <w:tcBorders/>
            <w:vAlign w:val="bottom"/>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Effective </w:t>
            </w:r>
          </w:p>
        </w:tc>
        <w:tc>
          <w:tcPr>
            <w:tcW w:w="958" w:type="dxa"/>
            <w:tcBorders/>
            <w:vAlign w:val="bottom"/>
          </w:tcPr>
          <w:p>
            <w:pPr>
              <w:pStyle w:val="Normal"/>
              <w:snapToGrid w:val="false"/>
              <w:jc w:val="center"/>
              <w:rPr>
                <w:rFonts w:ascii="Arial" w:hAnsi="Arial" w:cs="Arial"/>
                <w:b/>
                <w:bCs/>
                <w:sz w:val="20"/>
              </w:rPr>
            </w:pPr>
            <w:r>
              <w:rPr>
                <w:rFonts w:cs="Arial" w:ascii="Arial" w:hAnsi="Arial"/>
                <w:b/>
                <w:bCs/>
                <w:sz w:val="20"/>
              </w:rPr>
            </w:r>
          </w:p>
        </w:tc>
      </w:tr>
      <w:tr>
        <w:trPr>
          <w:trHeight w:val="255" w:hRule="atLeast"/>
        </w:trPr>
        <w:tc>
          <w:tcPr>
            <w:tcW w:w="46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48"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896" w:type="dxa"/>
            <w:gridSpan w:val="2"/>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718"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720" w:type="dxa"/>
            <w:gridSpan w:val="2"/>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27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540" w:type="dxa"/>
            <w:gridSpan w:val="3"/>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810" w:type="dxa"/>
            <w:gridSpan w:val="2"/>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63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460" w:type="dxa"/>
            <w:tcBorders/>
            <w:vAlign w:val="bottom"/>
          </w:tcPr>
          <w:p>
            <w:pPr>
              <w:pStyle w:val="Normal"/>
              <w:snapToGrid w:val="false"/>
              <w:jc w:val="center"/>
              <w:rPr>
                <w:rFonts w:ascii="Arial" w:hAnsi="Arial" w:cs="Arial"/>
                <w:b/>
                <w:bCs/>
                <w:sz w:val="12"/>
              </w:rPr>
            </w:pPr>
            <w:r>
              <w:rPr>
                <w:rFonts w:cs="Arial" w:ascii="Arial" w:hAnsi="Arial"/>
                <w:b/>
                <w:bCs/>
                <w:sz w:val="12"/>
              </w:rPr>
            </w:r>
          </w:p>
        </w:tc>
        <w:tc>
          <w:tcPr>
            <w:tcW w:w="800" w:type="dxa"/>
            <w:gridSpan w:val="2"/>
            <w:tcBorders/>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Volume </w:t>
            </w:r>
          </w:p>
        </w:tc>
        <w:tc>
          <w:tcPr>
            <w:tcW w:w="810" w:type="dxa"/>
            <w:gridSpan w:val="4"/>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540" w:type="dxa"/>
            <w:tcBorders>
              <w:bottom w:val="single" w:sz="4" w:space="0" w:color="000000"/>
            </w:tcBorders>
            <w:vAlign w:val="bottom"/>
          </w:tcPr>
          <w:p>
            <w:pPr>
              <w:pStyle w:val="Normal"/>
              <w:jc w:val="center"/>
              <w:rPr>
                <w:rFonts w:ascii="Arial" w:hAnsi="Arial" w:cs="Arial"/>
                <w:b/>
                <w:bCs/>
                <w:sz w:val="12"/>
              </w:rPr>
            </w:pPr>
            <w:r>
              <w:rPr>
                <w:rFonts w:eastAsia="Arial" w:cs="Arial" w:ascii="Arial" w:hAnsi="Arial"/>
                <w:b/>
                <w:bCs/>
                <w:sz w:val="12"/>
              </w:rPr>
              <w:t xml:space="preserve"> </w:t>
            </w:r>
            <w:r>
              <w:rPr>
                <w:rFonts w:cs="Arial" w:ascii="Arial" w:hAnsi="Arial"/>
                <w:b/>
                <w:bCs/>
                <w:sz w:val="12"/>
              </w:rPr>
              <w:t xml:space="preserve">Price </w:t>
            </w:r>
          </w:p>
        </w:tc>
        <w:tc>
          <w:tcPr>
            <w:tcW w:w="180" w:type="dxa"/>
            <w:gridSpan w:val="2"/>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450" w:type="dxa"/>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550" w:type="dxa"/>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630" w:type="dxa"/>
            <w:tcBorders>
              <w:bottom w:val="single" w:sz="4" w:space="0" w:color="000000"/>
            </w:tcBorders>
            <w:tcMar>
              <w:top w:w="0" w:type="dxa"/>
              <w:start w:w="0" w:type="dxa"/>
              <w:end w:w="0" w:type="dxa"/>
            </w:tcMar>
            <w:vAlign w:val="bottom"/>
          </w:tcPr>
          <w:p>
            <w:pPr>
              <w:pStyle w:val="Normal"/>
              <w:jc w:val="center"/>
              <w:rPr>
                <w:rFonts w:ascii="Arial" w:hAnsi="Arial" w:cs="Arial"/>
                <w:b/>
                <w:bCs/>
                <w:sz w:val="12"/>
              </w:rPr>
            </w:pPr>
            <w:r>
              <w:rPr>
                <w:rFonts w:cs="Arial" w:ascii="Arial" w:hAnsi="Arial"/>
                <w:b/>
                <w:bCs/>
                <w:sz w:val="12"/>
              </w:rPr>
              <w:t>Volume</w:t>
            </w:r>
          </w:p>
        </w:tc>
        <w:tc>
          <w:tcPr>
            <w:tcW w:w="720" w:type="dxa"/>
            <w:tcBorders>
              <w:bottom w:val="single" w:sz="4" w:space="0" w:color="000000"/>
            </w:tcBorders>
            <w:tcMar>
              <w:top w:w="0" w:type="dxa"/>
              <w:start w:w="0" w:type="dxa"/>
              <w:end w:w="0" w:type="dxa"/>
            </w:tcMar>
            <w:vAlign w:val="bottom"/>
          </w:tcPr>
          <w:p>
            <w:pPr>
              <w:pStyle w:val="Normal"/>
              <w:jc w:val="center"/>
              <w:rPr>
                <w:rFonts w:ascii="Arial" w:hAnsi="Arial" w:cs="Arial"/>
                <w:b/>
                <w:bCs/>
                <w:sz w:val="12"/>
              </w:rPr>
            </w:pPr>
            <w:r>
              <w:rPr>
                <w:rFonts w:cs="Arial" w:ascii="Arial" w:hAnsi="Arial"/>
                <w:b/>
                <w:bCs/>
                <w:sz w:val="12"/>
              </w:rPr>
              <w:t>Price</w:t>
            </w:r>
          </w:p>
        </w:tc>
        <w:tc>
          <w:tcPr>
            <w:tcW w:w="630" w:type="dxa"/>
            <w:tcBorders>
              <w:bottom w:val="single" w:sz="4" w:space="0" w:color="000000"/>
            </w:tcBorders>
            <w:tcMar>
              <w:top w:w="0" w:type="dxa"/>
              <w:start w:w="0" w:type="dxa"/>
              <w:end w:w="0" w:type="dxa"/>
            </w:tcMar>
            <w:vAlign w:val="bottom"/>
          </w:tcPr>
          <w:p>
            <w:pPr>
              <w:pStyle w:val="Normal"/>
              <w:jc w:val="center"/>
              <w:rPr>
                <w:rFonts w:ascii="Arial" w:hAnsi="Arial" w:cs="Arial"/>
                <w:b/>
                <w:bCs/>
                <w:sz w:val="12"/>
              </w:rPr>
            </w:pPr>
            <w:r>
              <w:rPr>
                <w:rFonts w:cs="Arial" w:ascii="Arial" w:hAnsi="Arial"/>
                <w:b/>
                <w:bCs/>
                <w:sz w:val="12"/>
              </w:rPr>
              <w:t>Price</w:t>
            </w:r>
          </w:p>
        </w:tc>
        <w:tc>
          <w:tcPr>
            <w:tcW w:w="2245" w:type="dxa"/>
            <w:tcBorders/>
            <w:tcMar>
              <w:top w:w="0" w:type="dxa"/>
              <w:start w:w="0" w:type="dxa"/>
              <w:end w:w="0" w:type="dxa"/>
            </w:tcMar>
            <w:vAlign w:val="bottom"/>
          </w:tcPr>
          <w:p>
            <w:pPr>
              <w:pStyle w:val="Normal"/>
              <w:snapToGrid w:val="false"/>
              <w:jc w:val="center"/>
              <w:rPr>
                <w:rFonts w:ascii="Arial" w:hAnsi="Arial" w:cs="Arial"/>
                <w:b/>
                <w:bCs/>
                <w:sz w:val="12"/>
              </w:rPr>
            </w:pPr>
            <w:r>
              <w:rPr>
                <w:rFonts w:cs="Arial" w:ascii="Arial" w:hAnsi="Arial"/>
                <w:b/>
                <w:bCs/>
                <w:sz w:val="12"/>
              </w:rPr>
            </w:r>
          </w:p>
        </w:tc>
        <w:tc>
          <w:tcPr>
            <w:tcW w:w="958" w:type="dxa"/>
            <w:tcBorders/>
            <w:vAlign w:val="bottom"/>
          </w:tcPr>
          <w:p>
            <w:pPr>
              <w:pStyle w:val="Normal"/>
              <w:snapToGrid w:val="false"/>
              <w:jc w:val="center"/>
              <w:rPr>
                <w:rFonts w:ascii="Arial" w:hAnsi="Arial" w:cs="Arial"/>
                <w:b/>
                <w:bCs/>
                <w:sz w:val="20"/>
              </w:rPr>
            </w:pPr>
            <w:r>
              <w:rPr>
                <w:rFonts w:cs="Arial" w:ascii="Arial" w:hAnsi="Arial"/>
                <w:b/>
                <w:bCs/>
                <w:sz w:val="20"/>
              </w:rPr>
            </w:r>
          </w:p>
        </w:tc>
        <w:tc>
          <w:tcPr>
            <w:tcW w:w="958" w:type="dxa"/>
            <w:tcBorders/>
            <w:vAlign w:val="bottom"/>
          </w:tcPr>
          <w:p>
            <w:pPr>
              <w:pStyle w:val="Normal"/>
              <w:snapToGrid w:val="false"/>
              <w:jc w:val="center"/>
              <w:rPr>
                <w:rFonts w:ascii="Arial" w:hAnsi="Arial" w:cs="Arial"/>
                <w:b/>
                <w:bCs/>
                <w:sz w:val="20"/>
              </w:rPr>
            </w:pPr>
            <w:r>
              <w:rPr>
                <w:rFonts w:cs="Arial" w:ascii="Arial" w:hAnsi="Arial"/>
                <w:b/>
                <w:bCs/>
                <w:sz w:val="20"/>
              </w:rPr>
            </w:r>
          </w:p>
        </w:tc>
        <w:tc>
          <w:tcPr>
            <w:tcW w:w="958" w:type="dxa"/>
            <w:tcBorders/>
            <w:vAlign w:val="bottom"/>
          </w:tcPr>
          <w:p>
            <w:pPr>
              <w:pStyle w:val="Normal"/>
              <w:snapToGrid w:val="false"/>
              <w:jc w:val="center"/>
              <w:rPr>
                <w:rFonts w:ascii="Arial" w:hAnsi="Arial" w:cs="Arial"/>
                <w:b/>
                <w:bCs/>
                <w:sz w:val="20"/>
              </w:rPr>
            </w:pPr>
            <w:r>
              <w:rPr>
                <w:rFonts w:cs="Arial" w:ascii="Arial" w:hAnsi="Arial"/>
                <w:b/>
                <w:bCs/>
                <w:sz w:val="20"/>
              </w:rPr>
            </w:r>
          </w:p>
        </w:tc>
        <w:tc>
          <w:tcPr>
            <w:tcW w:w="1016" w:type="dxa"/>
            <w:tcBorders>
              <w:bottom w:val="single" w:sz="4" w:space="0" w:color="000000"/>
            </w:tcBorders>
            <w:vAlign w:val="bottom"/>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Volume </w:t>
            </w:r>
          </w:p>
        </w:tc>
        <w:tc>
          <w:tcPr>
            <w:tcW w:w="900" w:type="dxa"/>
            <w:tcBorders>
              <w:bottom w:val="single" w:sz="4" w:space="0" w:color="000000"/>
            </w:tcBorders>
            <w:vAlign w:val="bottom"/>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Price </w:t>
            </w:r>
          </w:p>
        </w:tc>
        <w:tc>
          <w:tcPr>
            <w:tcW w:w="958" w:type="dxa"/>
            <w:tcBorders>
              <w:bottom w:val="single" w:sz="4" w:space="0" w:color="000000"/>
            </w:tcBorders>
            <w:vAlign w:val="bottom"/>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Price </w:t>
            </w:r>
          </w:p>
        </w:tc>
        <w:tc>
          <w:tcPr>
            <w:tcW w:w="958" w:type="dxa"/>
            <w:tcBorders/>
            <w:vAlign w:val="bottom"/>
          </w:tcPr>
          <w:p>
            <w:pPr>
              <w:pStyle w:val="Normal"/>
              <w:snapToGrid w:val="false"/>
              <w:jc w:val="center"/>
              <w:rPr>
                <w:rFonts w:ascii="Arial" w:hAnsi="Arial" w:cs="Arial"/>
                <w:b/>
                <w:bCs/>
                <w:sz w:val="20"/>
              </w:rPr>
            </w:pPr>
            <w:r>
              <w:rPr>
                <w:rFonts w:cs="Arial" w:ascii="Arial" w:hAnsi="Arial"/>
                <w:b/>
                <w:bCs/>
                <w:sz w:val="20"/>
              </w:rPr>
            </w:r>
          </w:p>
        </w:tc>
      </w:tr>
      <w:tr>
        <w:trPr>
          <w:trHeight w:val="255" w:hRule="atLeast"/>
        </w:trPr>
        <w:tc>
          <w:tcPr>
            <w:tcW w:w="460" w:type="dxa"/>
            <w:tcBorders/>
            <w:vAlign w:val="bottom"/>
          </w:tcPr>
          <w:p>
            <w:pPr>
              <w:pStyle w:val="Normal"/>
              <w:rPr>
                <w:rFonts w:ascii="Arial" w:hAnsi="Arial" w:cs="Arial"/>
                <w:sz w:val="12"/>
              </w:rPr>
            </w:pPr>
            <w:r>
              <w:rPr>
                <w:rFonts w:cs="Arial" w:ascii="Arial" w:hAnsi="Arial"/>
                <w:sz w:val="12"/>
              </w:rPr>
              <w:t>Entex</w:t>
            </w:r>
          </w:p>
        </w:tc>
        <w:tc>
          <w:tcPr>
            <w:tcW w:w="448" w:type="dxa"/>
            <w:tcBorders/>
            <w:vAlign w:val="bottom"/>
          </w:tcPr>
          <w:p>
            <w:pPr>
              <w:pStyle w:val="Normal"/>
              <w:jc w:val="end"/>
              <w:rPr>
                <w:rFonts w:ascii="Arial" w:hAnsi="Arial" w:cs="Arial"/>
                <w:sz w:val="12"/>
              </w:rPr>
            </w:pPr>
            <w:r>
              <w:rPr>
                <w:rFonts w:cs="Arial" w:ascii="Arial" w:hAnsi="Arial"/>
                <w:sz w:val="12"/>
              </w:rPr>
              <w:t>Nov-02</w:t>
            </w:r>
          </w:p>
        </w:tc>
        <w:tc>
          <w:tcPr>
            <w:tcW w:w="896" w:type="dxa"/>
            <w:gridSpan w:val="2"/>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718"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720" w:type="dxa"/>
            <w:gridSpan w:val="2"/>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rPr>
                <w:rFonts w:ascii="Arial" w:hAnsi="Arial" w:cs="Arial"/>
                <w:sz w:val="12"/>
              </w:rPr>
            </w:pPr>
            <w:r>
              <w:rPr>
                <w:rFonts w:cs="Arial" w:ascii="Arial" w:hAnsi="Arial"/>
                <w:sz w:val="12"/>
              </w:rPr>
              <w:t>Entex</w:t>
            </w:r>
          </w:p>
        </w:tc>
        <w:tc>
          <w:tcPr>
            <w:tcW w:w="630" w:type="dxa"/>
            <w:tcBorders/>
            <w:vAlign w:val="bottom"/>
          </w:tcPr>
          <w:p>
            <w:pPr>
              <w:pStyle w:val="Normal"/>
              <w:jc w:val="end"/>
              <w:rPr>
                <w:rFonts w:ascii="Arial" w:hAnsi="Arial" w:cs="Arial"/>
                <w:sz w:val="12"/>
              </w:rPr>
            </w:pPr>
            <w:r>
              <w:rPr>
                <w:rFonts w:cs="Arial" w:ascii="Arial" w:hAnsi="Arial"/>
                <w:sz w:val="12"/>
              </w:rPr>
              <w:t>Apr-01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rPr>
                <w:rFonts w:ascii="Arial" w:hAnsi="Arial" w:cs="Arial"/>
                <w:sz w:val="12"/>
              </w:rPr>
            </w:pPr>
            <w:r>
              <w:rPr>
                <w:rFonts w:cs="Arial" w:ascii="Arial" w:hAnsi="Arial"/>
                <w:sz w:val="12"/>
              </w:rPr>
              <w:t>Entex</w:t>
            </w:r>
          </w:p>
        </w:tc>
        <w:tc>
          <w:tcPr>
            <w:tcW w:w="800" w:type="dxa"/>
            <w:gridSpan w:val="2"/>
            <w:tcBorders/>
            <w:vAlign w:val="bottom"/>
          </w:tcPr>
          <w:p>
            <w:pPr>
              <w:pStyle w:val="Normal"/>
              <w:jc w:val="end"/>
              <w:rPr>
                <w:rFonts w:ascii="Arial" w:hAnsi="Arial" w:cs="Arial"/>
                <w:sz w:val="12"/>
              </w:rPr>
            </w:pPr>
            <w:r>
              <w:rPr>
                <w:rFonts w:cs="Arial" w:ascii="Arial" w:hAnsi="Arial"/>
                <w:sz w:val="12"/>
              </w:rPr>
              <w:t>Apr-01</w:t>
            </w:r>
          </w:p>
        </w:tc>
        <w:tc>
          <w:tcPr>
            <w:tcW w:w="630" w:type="dxa"/>
            <w:tcBorders>
              <w:top w:val="single" w:sz="4" w:space="0" w:color="000000"/>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top w:val="single" w:sz="4" w:space="0" w:color="000000"/>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top w:val="single" w:sz="4" w:space="0" w:color="000000"/>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Entex</w:t>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Oct-01</w:t>
            </w:r>
          </w:p>
        </w:tc>
        <w:tc>
          <w:tcPr>
            <w:tcW w:w="630" w:type="dxa"/>
            <w:tcBorders>
              <w:top w:val="single" w:sz="4" w:space="0" w:color="000000"/>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op w:val="single" w:sz="4" w:space="0" w:color="000000"/>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op w:val="single" w:sz="4" w:space="0" w:color="000000"/>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rPr>
                <w:rFonts w:ascii="Arial" w:hAnsi="Arial" w:cs="Arial"/>
                <w:sz w:val="20"/>
              </w:rPr>
            </w:pPr>
            <w:r>
              <w:rPr>
                <w:rFonts w:cs="Arial" w:ascii="Arial" w:hAnsi="Arial"/>
                <w:sz w:val="20"/>
              </w:rPr>
              <w:t>Entex</w:t>
            </w:r>
          </w:p>
        </w:tc>
        <w:tc>
          <w:tcPr>
            <w:tcW w:w="958" w:type="dxa"/>
            <w:tcBorders/>
            <w:vAlign w:val="bottom"/>
          </w:tcPr>
          <w:p>
            <w:pPr>
              <w:pStyle w:val="Normal"/>
              <w:jc w:val="end"/>
              <w:rPr>
                <w:rFonts w:ascii="Arial" w:hAnsi="Arial" w:cs="Arial"/>
                <w:sz w:val="20"/>
              </w:rPr>
            </w:pPr>
            <w:r>
              <w:rPr>
                <w:rFonts w:cs="Arial" w:ascii="Arial" w:hAnsi="Arial"/>
                <w:sz w:val="20"/>
              </w:rPr>
              <w:t>Oct-01</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jc w:val="end"/>
              <w:rPr>
                <w:rFonts w:ascii="Arial" w:hAnsi="Arial" w:cs="Arial"/>
                <w:sz w:val="12"/>
              </w:rPr>
            </w:pPr>
            <w:r>
              <w:rPr>
                <w:rFonts w:cs="Arial" w:ascii="Arial" w:hAnsi="Arial"/>
                <w:sz w:val="12"/>
              </w:rPr>
              <w:t>Dec-02</w:t>
            </w:r>
          </w:p>
        </w:tc>
        <w:tc>
          <w:tcPr>
            <w:tcW w:w="896" w:type="dxa"/>
            <w:gridSpan w:val="2"/>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718"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720" w:type="dxa"/>
            <w:gridSpan w:val="2"/>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May-01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Nov-01</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Nov-01</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jc w:val="end"/>
              <w:rPr>
                <w:rFonts w:ascii="Arial" w:hAnsi="Arial" w:cs="Arial"/>
                <w:sz w:val="12"/>
              </w:rPr>
            </w:pPr>
            <w:r>
              <w:rPr>
                <w:rFonts w:cs="Arial" w:ascii="Arial" w:hAnsi="Arial"/>
                <w:sz w:val="12"/>
              </w:rPr>
              <w:t>Jan-03</w:t>
            </w:r>
          </w:p>
        </w:tc>
        <w:tc>
          <w:tcPr>
            <w:tcW w:w="896" w:type="dxa"/>
            <w:gridSpan w:val="2"/>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718"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720" w:type="dxa"/>
            <w:gridSpan w:val="2"/>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Jun-01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Jun-01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Dec-01</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Dec-01</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jc w:val="end"/>
              <w:rPr>
                <w:rFonts w:ascii="Arial" w:hAnsi="Arial" w:cs="Arial"/>
                <w:sz w:val="12"/>
              </w:rPr>
            </w:pPr>
            <w:r>
              <w:rPr>
                <w:rFonts w:cs="Arial" w:ascii="Arial" w:hAnsi="Arial"/>
                <w:sz w:val="12"/>
              </w:rPr>
              <w:t>Feb-03</w:t>
            </w:r>
          </w:p>
        </w:tc>
        <w:tc>
          <w:tcPr>
            <w:tcW w:w="896" w:type="dxa"/>
            <w:gridSpan w:val="2"/>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718"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720" w:type="dxa"/>
            <w:gridSpan w:val="2"/>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Jul-01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Jul-01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Jan-02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Jan-02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jc w:val="end"/>
              <w:rPr>
                <w:rFonts w:ascii="Arial" w:hAnsi="Arial" w:cs="Arial"/>
                <w:sz w:val="12"/>
              </w:rPr>
            </w:pPr>
            <w:r>
              <w:rPr>
                <w:rFonts w:cs="Arial" w:ascii="Arial" w:hAnsi="Arial"/>
                <w:sz w:val="12"/>
              </w:rPr>
              <w:t>Mar-03</w:t>
            </w:r>
          </w:p>
        </w:tc>
        <w:tc>
          <w:tcPr>
            <w:tcW w:w="896" w:type="dxa"/>
            <w:gridSpan w:val="2"/>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718"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3.170 </w:t>
            </w:r>
          </w:p>
        </w:tc>
        <w:tc>
          <w:tcPr>
            <w:tcW w:w="720" w:type="dxa"/>
            <w:gridSpan w:val="2"/>
            <w:tcBorders/>
            <w:vAlign w:val="bottom"/>
          </w:tcPr>
          <w:p>
            <w:pPr>
              <w:pStyle w:val="Normal"/>
              <w:jc w:val="center"/>
              <w:rPr>
                <w:rFonts w:ascii="Arial" w:hAnsi="Arial" w:cs="Arial"/>
                <w:sz w:val="12"/>
              </w:rPr>
            </w:pPr>
            <w:r>
              <w:rPr>
                <w:rFonts w:cs="Arial" w:ascii="Arial" w:hAnsi="Arial"/>
                <w:sz w:val="12"/>
              </w:rPr>
              <w:t>HSC</w:t>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Aug-01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Aug-01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Feb-02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Feb-02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718" w:type="dxa"/>
            <w:tcBorders/>
            <w:vAlign w:val="bottom"/>
          </w:tcPr>
          <w:p>
            <w:pPr>
              <w:pStyle w:val="Normal"/>
              <w:snapToGrid w:val="false"/>
              <w:rPr>
                <w:rFonts w:ascii="Arial" w:hAnsi="Arial" w:cs="Arial"/>
                <w:sz w:val="12"/>
              </w:rPr>
            </w:pPr>
            <w:r>
              <w:rPr>
                <w:rFonts w:cs="Arial" w:ascii="Arial" w:hAnsi="Arial"/>
                <w:sz w:val="12"/>
              </w:rPr>
            </w:r>
          </w:p>
        </w:tc>
        <w:tc>
          <w:tcPr>
            <w:tcW w:w="720" w:type="dxa"/>
            <w:gridSpan w:val="2"/>
            <w:tcBorders/>
            <w:vAlign w:val="bottom"/>
          </w:tcPr>
          <w:p>
            <w:pPr>
              <w:pStyle w:val="Normal"/>
              <w:snapToGrid w:val="false"/>
              <w:jc w:val="center"/>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Sep-01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Sep-01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Mar-02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Mar-02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718" w:type="dxa"/>
            <w:tcBorders/>
            <w:vAlign w:val="bottom"/>
          </w:tcPr>
          <w:p>
            <w:pPr>
              <w:pStyle w:val="Normal"/>
              <w:snapToGrid w:val="false"/>
              <w:rPr>
                <w:rFonts w:ascii="Arial" w:hAnsi="Arial" w:cs="Arial"/>
                <w:sz w:val="12"/>
              </w:rPr>
            </w:pPr>
            <w:r>
              <w:rPr>
                <w:rFonts w:cs="Arial" w:ascii="Arial" w:hAnsi="Arial"/>
                <w:sz w:val="12"/>
              </w:rPr>
            </w:r>
          </w:p>
        </w:tc>
        <w:tc>
          <w:tcPr>
            <w:tcW w:w="720" w:type="dxa"/>
            <w:gridSpan w:val="2"/>
            <w:tcBorders/>
            <w:vAlign w:val="bottom"/>
          </w:tcPr>
          <w:p>
            <w:pPr>
              <w:pStyle w:val="Normal"/>
              <w:snapToGrid w:val="false"/>
              <w:jc w:val="center"/>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Oct-01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Oct-01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Apr-02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Apr-02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718" w:type="dxa"/>
            <w:tcBorders/>
            <w:vAlign w:val="bottom"/>
          </w:tcPr>
          <w:p>
            <w:pPr>
              <w:pStyle w:val="Normal"/>
              <w:snapToGrid w:val="false"/>
              <w:rPr>
                <w:rFonts w:ascii="Arial" w:hAnsi="Arial" w:cs="Arial"/>
                <w:sz w:val="12"/>
              </w:rPr>
            </w:pPr>
            <w:r>
              <w:rPr>
                <w:rFonts w:cs="Arial" w:ascii="Arial" w:hAnsi="Arial"/>
                <w:sz w:val="12"/>
              </w:rPr>
            </w:r>
          </w:p>
        </w:tc>
        <w:tc>
          <w:tcPr>
            <w:tcW w:w="720" w:type="dxa"/>
            <w:gridSpan w:val="2"/>
            <w:tcBorders/>
            <w:vAlign w:val="bottom"/>
          </w:tcPr>
          <w:p>
            <w:pPr>
              <w:pStyle w:val="Normal"/>
              <w:snapToGrid w:val="false"/>
              <w:jc w:val="center"/>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Nov-01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Nov-01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May-02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May-02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448"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718" w:type="dxa"/>
            <w:tcBorders/>
            <w:vAlign w:val="bottom"/>
          </w:tcPr>
          <w:p>
            <w:pPr>
              <w:pStyle w:val="Normal"/>
              <w:snapToGrid w:val="false"/>
              <w:rPr>
                <w:rFonts w:ascii="Arial" w:hAnsi="Arial" w:cs="Arial"/>
                <w:sz w:val="12"/>
              </w:rPr>
            </w:pPr>
            <w:r>
              <w:rPr>
                <w:rFonts w:cs="Arial" w:ascii="Arial" w:hAnsi="Arial"/>
                <w:sz w:val="12"/>
              </w:rPr>
            </w:r>
          </w:p>
        </w:tc>
        <w:tc>
          <w:tcPr>
            <w:tcW w:w="720" w:type="dxa"/>
            <w:gridSpan w:val="2"/>
            <w:tcBorders/>
            <w:vAlign w:val="bottom"/>
          </w:tcPr>
          <w:p>
            <w:pPr>
              <w:pStyle w:val="Normal"/>
              <w:snapToGrid w:val="false"/>
              <w:jc w:val="center"/>
              <w:rPr>
                <w:rFonts w:ascii="Arial" w:hAnsi="Arial" w:cs="Arial"/>
                <w:sz w:val="12"/>
              </w:rPr>
            </w:pPr>
            <w:r>
              <w:rPr>
                <w:rFonts w:cs="Arial" w:ascii="Arial" w:hAnsi="Arial"/>
                <w:sz w:val="12"/>
              </w:rPr>
            </w:r>
          </w:p>
        </w:tc>
        <w:tc>
          <w:tcPr>
            <w:tcW w:w="270" w:type="dxa"/>
            <w:tcBorders/>
            <w:vAlign w:val="bottom"/>
          </w:tcPr>
          <w:p>
            <w:pPr>
              <w:pStyle w:val="Normal"/>
              <w:snapToGrid w:val="false"/>
              <w:rPr>
                <w:rFonts w:ascii="Arial" w:hAnsi="Arial" w:cs="Arial"/>
                <w:sz w:val="12"/>
              </w:rPr>
            </w:pPr>
            <w:r>
              <w:rPr>
                <w:rFonts w:cs="Arial" w:ascii="Arial" w:hAnsi="Arial"/>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Dec-01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jc w:val="end"/>
              <w:rPr>
                <w:rFonts w:ascii="Arial" w:hAnsi="Arial" w:cs="Arial"/>
                <w:sz w:val="12"/>
              </w:rPr>
            </w:pPr>
            <w:r>
              <w:rPr>
                <w:rFonts w:cs="Arial" w:ascii="Arial" w:hAnsi="Arial"/>
                <w:sz w:val="12"/>
              </w:rPr>
              <w:t>Dec-01</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(2,800)</w:t>
            </w:r>
          </w:p>
        </w:tc>
        <w:tc>
          <w:tcPr>
            <w:tcW w:w="810" w:type="dxa"/>
            <w:gridSpan w:val="4"/>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2.000 </w:t>
            </w:r>
          </w:p>
        </w:tc>
        <w:tc>
          <w:tcPr>
            <w:tcW w:w="540" w:type="dxa"/>
            <w:tcBorders/>
            <w:vAlign w:val="bottom"/>
          </w:tcPr>
          <w:p>
            <w:pPr>
              <w:pStyle w:val="Normal"/>
              <w:jc w:val="center"/>
              <w:rPr>
                <w:rFonts w:ascii="Arial" w:hAnsi="Arial" w:cs="Arial"/>
                <w:sz w:val="12"/>
              </w:rPr>
            </w:pPr>
            <w:r>
              <w:rPr>
                <w:rFonts w:cs="Arial" w:ascii="Arial" w:hAnsi="Arial"/>
                <w:sz w:val="12"/>
              </w:rPr>
              <w:t>HSC</w:t>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Jun-02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Jun-02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2782" w:type="dxa"/>
            <w:gridSpan w:val="6"/>
            <w:tcBorders/>
            <w:vAlign w:val="bottom"/>
          </w:tcPr>
          <w:p>
            <w:pPr>
              <w:pStyle w:val="Normal"/>
              <w:rPr>
                <w:rFonts w:ascii="Arial" w:hAnsi="Arial" w:cs="Arial"/>
                <w:b/>
                <w:bCs/>
                <w:i/>
                <w:i/>
                <w:iCs/>
                <w:sz w:val="12"/>
              </w:rPr>
            </w:pPr>
            <w:r>
              <w:rPr>
                <w:rFonts w:cs="Arial" w:ascii="Arial" w:hAnsi="Arial"/>
                <w:b/>
                <w:bCs/>
                <w:i/>
                <w:iCs/>
                <w:sz w:val="12"/>
              </w:rPr>
              <w:t>Entex contract price is $3.17 + .769.</w:t>
            </w:r>
          </w:p>
        </w:tc>
        <w:tc>
          <w:tcPr>
            <w:tcW w:w="27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540" w:type="dxa"/>
            <w:gridSpan w:val="3"/>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Jan-02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gridSpan w:val="4"/>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Jul-02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Jul-02</w:t>
            </w:r>
          </w:p>
        </w:tc>
        <w:tc>
          <w:tcPr>
            <w:tcW w:w="958" w:type="dxa"/>
            <w:tcBorders/>
            <w:vAlign w:val="bottom"/>
          </w:tcPr>
          <w:p>
            <w:pPr>
              <w:pStyle w:val="Normal"/>
              <w:jc w:val="end"/>
              <w:rPr>
                <w:rFonts w:ascii="Arial" w:hAnsi="Arial" w:cs="Arial"/>
                <w:sz w:val="20"/>
              </w:rPr>
            </w:pPr>
            <w:r>
              <w:rPr>
                <w:rFonts w:cs="Arial" w:ascii="Arial" w:hAnsi="Arial"/>
                <w:sz w:val="20"/>
              </w:rPr>
              <w:t>Jul-02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Feb-02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800" w:type="dxa"/>
            <w:gridSpan w:val="2"/>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gridSpan w:val="4"/>
            <w:tcBorders/>
            <w:vAlign w:val="bottom"/>
          </w:tcPr>
          <w:p>
            <w:pPr>
              <w:pStyle w:val="Normal"/>
              <w:snapToGrid w:val="false"/>
              <w:rPr>
                <w:rFonts w:ascii="Arial" w:hAnsi="Arial" w:cs="Arial"/>
                <w:sz w:val="12"/>
              </w:rPr>
            </w:pPr>
            <w:r>
              <w:rPr>
                <w:rFonts w:cs="Arial" w:ascii="Arial" w:hAnsi="Arial"/>
                <w:sz w:val="12"/>
              </w:rPr>
            </w:r>
          </w:p>
        </w:tc>
        <w:tc>
          <w:tcPr>
            <w:tcW w:w="540" w:type="dxa"/>
            <w:tcBorders/>
            <w:vAlign w:val="bottom"/>
          </w:tcPr>
          <w:p>
            <w:pPr>
              <w:pStyle w:val="Normal"/>
              <w:snapToGrid w:val="false"/>
              <w:jc w:val="center"/>
              <w:rPr>
                <w:rFonts w:ascii="Arial" w:hAnsi="Arial" w:cs="Arial"/>
                <w:sz w:val="12"/>
              </w:rPr>
            </w:pPr>
            <w:r>
              <w:rPr>
                <w:rFonts w:cs="Arial" w:ascii="Arial" w:hAnsi="Arial"/>
                <w:sz w:val="12"/>
              </w:rPr>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Aug-02</w:t>
            </w:r>
          </w:p>
        </w:tc>
        <w:tc>
          <w:tcPr>
            <w:tcW w:w="630" w:type="dxa"/>
            <w:tcBorders/>
            <w:tcMar>
              <w:top w:w="0" w:type="dxa"/>
              <w:start w:w="0" w:type="dxa"/>
              <w:end w:w="0" w:type="dxa"/>
            </w:tcMar>
            <w:vAlign w:val="bottom"/>
          </w:tcPr>
          <w:p>
            <w:pPr>
              <w:pStyle w:val="Normal"/>
              <w:jc w:val="center"/>
              <w:rPr>
                <w:rFonts w:ascii="Arial" w:hAnsi="Arial" w:cs="Arial"/>
                <w:sz w:val="12"/>
              </w:rPr>
            </w:pPr>
            <w:r>
              <w:rPr>
                <w:rFonts w:eastAsia="Arial" w:cs="Arial" w:ascii="Arial" w:hAnsi="Arial"/>
                <w:sz w:val="12"/>
              </w:rPr>
              <w:t xml:space="preserve"> </w:t>
            </w: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Aug-02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Mar-02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240" w:type="dxa"/>
            <w:gridSpan w:val="7"/>
            <w:tcBorders/>
            <w:vAlign w:val="bottom"/>
          </w:tcPr>
          <w:p>
            <w:pPr>
              <w:pStyle w:val="Normal"/>
              <w:rPr>
                <w:rFonts w:ascii="Arial" w:hAnsi="Arial" w:cs="Arial"/>
                <w:b/>
                <w:bCs/>
                <w:i/>
                <w:i/>
                <w:iCs/>
                <w:sz w:val="12"/>
              </w:rPr>
            </w:pPr>
            <w:r>
              <w:rPr>
                <w:rFonts w:cs="Arial" w:ascii="Arial" w:hAnsi="Arial"/>
                <w:b/>
                <w:bCs/>
                <w:i/>
                <w:iCs/>
                <w:sz w:val="12"/>
              </w:rPr>
              <w:t>Entex contract price is $2.00</w:t>
            </w:r>
          </w:p>
        </w:tc>
        <w:tc>
          <w:tcPr>
            <w:tcW w:w="540" w:type="dxa"/>
            <w:tcBorders/>
            <w:vAlign w:val="bottom"/>
          </w:tcPr>
          <w:p>
            <w:pPr>
              <w:pStyle w:val="Normal"/>
              <w:snapToGrid w:val="false"/>
              <w:jc w:val="center"/>
              <w:rPr>
                <w:rFonts w:ascii="Arial" w:hAnsi="Arial" w:cs="Arial"/>
                <w:b/>
                <w:bCs/>
                <w:i/>
                <w:i/>
                <w:iCs/>
                <w:sz w:val="12"/>
              </w:rPr>
            </w:pPr>
            <w:r>
              <w:rPr>
                <w:rFonts w:cs="Arial" w:ascii="Arial" w:hAnsi="Arial"/>
                <w:b/>
                <w:bCs/>
                <w:i/>
                <w:iCs/>
                <w:sz w:val="12"/>
              </w:rPr>
            </w:r>
          </w:p>
        </w:tc>
        <w:tc>
          <w:tcPr>
            <w:tcW w:w="18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45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Sept-02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Sep-02</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Sep-02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Apr-02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Octo-02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Oct-02</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Oct-02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Nov-02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 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Nov-02</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Nov-02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Jun-02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Dec-02</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Dec-02</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Dec-02</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Jul-02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Jan-03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Jan-03</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Jan-03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Aug-02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Feb-03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Feb-03</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Feb-03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Sep-02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Mar-03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Mar-03</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Mar-03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Oct-02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Apr-03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Apr-03</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Apr-03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Nov-02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May-03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jc w:val="end"/>
              <w:rPr>
                <w:rFonts w:ascii="Arial" w:hAnsi="Arial" w:cs="Arial"/>
                <w:sz w:val="12"/>
              </w:rPr>
            </w:pPr>
            <w:r>
              <w:rPr>
                <w:rFonts w:cs="Arial" w:ascii="Arial" w:hAnsi="Arial"/>
                <w:sz w:val="12"/>
              </w:rPr>
              <w:t>May-03</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12"/>
              </w:rPr>
            </w:pPr>
            <w:r>
              <w:rPr>
                <w:rFonts w:cs="Arial" w:ascii="Arial" w:hAnsi="Arial"/>
                <w:sz w:val="12"/>
              </w:rPr>
              <w:t>May-03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Dec-02</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Jun-03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Jun-03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Jan-03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Jul-03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Jul-03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Feb-03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Aug-03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Aug-03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Mar-03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jc w:val="end"/>
              <w:rPr>
                <w:rFonts w:ascii="Arial" w:hAnsi="Arial" w:cs="Arial"/>
                <w:sz w:val="12"/>
              </w:rPr>
            </w:pPr>
            <w:r>
              <w:rPr>
                <w:rFonts w:cs="Arial" w:ascii="Arial" w:hAnsi="Arial"/>
                <w:sz w:val="12"/>
              </w:rPr>
              <w:t>Sep-03</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(5,000)</w:t>
            </w:r>
          </w:p>
        </w:tc>
        <w:tc>
          <w:tcPr>
            <w:tcW w:w="72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   3.9225</w:t>
            </w:r>
          </w:p>
        </w:tc>
        <w:tc>
          <w:tcPr>
            <w:tcW w:w="630" w:type="dxa"/>
            <w:tcBorders/>
            <w:tcMar>
              <w:top w:w="0" w:type="dxa"/>
              <w:start w:w="0" w:type="dxa"/>
              <w:end w:w="0" w:type="dxa"/>
            </w:tcMar>
            <w:vAlign w:val="bottom"/>
          </w:tcPr>
          <w:p>
            <w:pPr>
              <w:pStyle w:val="Normal"/>
              <w:jc w:val="center"/>
              <w:rPr>
                <w:rFonts w:ascii="Arial" w:hAnsi="Arial" w:cs="Arial"/>
                <w:sz w:val="12"/>
              </w:rPr>
            </w:pPr>
            <w:r>
              <w:rPr>
                <w:rFonts w:cs="Arial" w:ascii="Arial" w:hAnsi="Arial"/>
                <w:sz w:val="12"/>
              </w:rPr>
              <w:t>HSC</w:t>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jc w:val="end"/>
              <w:rPr>
                <w:rFonts w:ascii="Arial" w:hAnsi="Arial" w:cs="Arial"/>
                <w:sz w:val="20"/>
              </w:rPr>
            </w:pPr>
            <w:r>
              <w:rPr>
                <w:rFonts w:cs="Arial" w:ascii="Arial" w:hAnsi="Arial"/>
                <w:sz w:val="20"/>
              </w:rPr>
              <w:t>Sep-03</w:t>
            </w:r>
          </w:p>
        </w:tc>
        <w:tc>
          <w:tcPr>
            <w:tcW w:w="1016"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(5,000)</w:t>
            </w:r>
          </w:p>
        </w:tc>
        <w:tc>
          <w:tcPr>
            <w:tcW w:w="90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$ 3.9225 </w:t>
            </w:r>
          </w:p>
        </w:tc>
        <w:tc>
          <w:tcPr>
            <w:tcW w:w="958" w:type="dxa"/>
            <w:tcBorders/>
            <w:vAlign w:val="bottom"/>
          </w:tcPr>
          <w:p>
            <w:pPr>
              <w:pStyle w:val="Normal"/>
              <w:jc w:val="center"/>
              <w:rPr>
                <w:rFonts w:ascii="Arial" w:hAnsi="Arial" w:cs="Arial"/>
                <w:sz w:val="20"/>
              </w:rPr>
            </w:pPr>
            <w:r>
              <w:rPr>
                <w:rFonts w:cs="Arial" w:ascii="Arial" w:hAnsi="Arial"/>
                <w:sz w:val="20"/>
              </w:rPr>
              <w:t>HSC</w:t>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Apr-03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rPr>
                <w:rFonts w:ascii="Arial" w:hAnsi="Arial" w:cs="Arial"/>
                <w:sz w:val="12"/>
              </w:rPr>
            </w:pPr>
            <w:r>
              <w:rPr>
                <w:rFonts w:cs="Arial" w:ascii="Arial" w:hAnsi="Arial"/>
                <w:sz w:val="12"/>
              </w:rPr>
            </w:r>
          </w:p>
        </w:tc>
        <w:tc>
          <w:tcPr>
            <w:tcW w:w="135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snapToGrid w:val="false"/>
              <w:rPr>
                <w:rFonts w:ascii="Arial" w:hAnsi="Arial" w:cs="Arial"/>
                <w:sz w:val="20"/>
              </w:rPr>
            </w:pPr>
            <w:r>
              <w:rPr>
                <w:rFonts w:cs="Arial" w:ascii="Arial" w:hAnsi="Arial"/>
                <w:sz w:val="20"/>
              </w:rPr>
            </w:r>
          </w:p>
        </w:tc>
        <w:tc>
          <w:tcPr>
            <w:tcW w:w="900"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jc w:val="end"/>
              <w:rPr>
                <w:rFonts w:ascii="Arial" w:hAnsi="Arial" w:cs="Arial"/>
                <w:sz w:val="12"/>
              </w:rPr>
            </w:pPr>
            <w:r>
              <w:rPr>
                <w:rFonts w:cs="Arial" w:ascii="Arial" w:hAnsi="Arial"/>
                <w:sz w:val="12"/>
              </w:rPr>
              <w:t>May-03</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(5,000)</w:t>
            </w:r>
          </w:p>
        </w:tc>
        <w:tc>
          <w:tcPr>
            <w:tcW w:w="630" w:type="dxa"/>
            <w:tcBorders/>
            <w:vAlign w:val="bottom"/>
          </w:tcPr>
          <w:p>
            <w:pPr>
              <w:pStyle w:val="Normal"/>
              <w:rPr>
                <w:rFonts w:ascii="Arial" w:hAnsi="Arial" w:cs="Arial"/>
                <w:sz w:val="12"/>
              </w:rPr>
            </w:pPr>
            <w:r>
              <w:rPr>
                <w:rFonts w:eastAsia="Arial" w:cs="Arial" w:ascii="Arial" w:hAnsi="Arial"/>
                <w:sz w:val="12"/>
              </w:rPr>
              <w:t xml:space="preserve"> </w:t>
            </w:r>
            <w:r>
              <w:rPr>
                <w:rFonts w:cs="Arial" w:ascii="Arial" w:hAnsi="Arial"/>
                <w:sz w:val="12"/>
              </w:rPr>
              <w:t xml:space="preserve">$   3.605 </w:t>
            </w:r>
          </w:p>
        </w:tc>
        <w:tc>
          <w:tcPr>
            <w:tcW w:w="810" w:type="dxa"/>
            <w:gridSpan w:val="2"/>
            <w:tcBorders/>
            <w:vAlign w:val="bottom"/>
          </w:tcPr>
          <w:p>
            <w:pPr>
              <w:pStyle w:val="Normal"/>
              <w:jc w:val="center"/>
              <w:rPr>
                <w:rFonts w:ascii="Arial" w:hAnsi="Arial" w:cs="Arial"/>
                <w:sz w:val="12"/>
              </w:rPr>
            </w:pPr>
            <w:r>
              <w:rPr>
                <w:rFonts w:cs="Arial" w:ascii="Arial" w:hAnsi="Arial"/>
                <w:sz w:val="12"/>
              </w:rPr>
              <w:t>HSC</w:t>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rPr>
                <w:rFonts w:ascii="Arial" w:hAnsi="Arial" w:cs="Arial"/>
                <w:sz w:val="12"/>
              </w:rPr>
            </w:pPr>
            <w:r>
              <w:rPr>
                <w:rFonts w:cs="Arial" w:ascii="Arial" w:hAnsi="Arial"/>
                <w:sz w:val="12"/>
              </w:rPr>
            </w:r>
          </w:p>
        </w:tc>
        <w:tc>
          <w:tcPr>
            <w:tcW w:w="4225" w:type="dxa"/>
            <w:gridSpan w:val="4"/>
            <w:tcBorders/>
            <w:tcMar>
              <w:top w:w="0" w:type="dxa"/>
              <w:start w:w="0" w:type="dxa"/>
              <w:end w:w="0" w:type="dxa"/>
            </w:tcMar>
            <w:vAlign w:val="bottom"/>
          </w:tcPr>
          <w:p>
            <w:pPr>
              <w:pStyle w:val="Normal"/>
              <w:rPr>
                <w:rFonts w:ascii="Arial" w:hAnsi="Arial" w:cs="Arial"/>
                <w:sz w:val="12"/>
              </w:rPr>
            </w:pPr>
            <w:r>
              <w:rPr>
                <w:rFonts w:cs="Arial" w:ascii="Arial" w:hAnsi="Arial"/>
                <w:b/>
                <w:bCs/>
                <w:i/>
                <w:iCs/>
                <w:sz w:val="12"/>
              </w:rPr>
              <w:t>Entex contract price is $3.9225 + .769.</w:t>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snapToGrid w:val="false"/>
              <w:rPr>
                <w:rFonts w:ascii="Arial" w:hAnsi="Arial" w:cs="Arial"/>
                <w:sz w:val="20"/>
              </w:rPr>
            </w:pPr>
            <w:r>
              <w:rPr>
                <w:rFonts w:cs="Arial" w:ascii="Arial" w:hAnsi="Arial"/>
                <w:sz w:val="20"/>
              </w:rPr>
            </w:r>
          </w:p>
        </w:tc>
        <w:tc>
          <w:tcPr>
            <w:tcW w:w="900"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gridSpan w:val="2"/>
            <w:tcBorders/>
            <w:vAlign w:val="bottom"/>
          </w:tcPr>
          <w:p>
            <w:pPr>
              <w:pStyle w:val="Normal"/>
              <w:snapToGrid w:val="false"/>
              <w:jc w:val="center"/>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rPr>
                <w:rFonts w:ascii="Arial" w:hAnsi="Arial" w:cs="Arial"/>
                <w:sz w:val="12"/>
              </w:rPr>
            </w:pPr>
            <w:r>
              <w:rPr>
                <w:rFonts w:cs="Arial" w:ascii="Arial" w:hAnsi="Arial"/>
                <w:sz w:val="12"/>
              </w:rPr>
            </w:r>
          </w:p>
        </w:tc>
        <w:tc>
          <w:tcPr>
            <w:tcW w:w="135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3832" w:type="dxa"/>
            <w:gridSpan w:val="4"/>
            <w:tcBorders/>
            <w:vAlign w:val="bottom"/>
          </w:tcPr>
          <w:p>
            <w:pPr>
              <w:pStyle w:val="Normal"/>
              <w:rPr>
                <w:rFonts w:ascii="Arial" w:hAnsi="Arial" w:cs="Arial"/>
                <w:b/>
                <w:bCs/>
                <w:i/>
                <w:i/>
                <w:iCs/>
                <w:sz w:val="20"/>
              </w:rPr>
            </w:pPr>
            <w:r>
              <w:rPr>
                <w:rFonts w:cs="Arial" w:ascii="Arial" w:hAnsi="Arial"/>
                <w:b/>
                <w:bCs/>
                <w:i/>
                <w:iCs/>
                <w:sz w:val="20"/>
              </w:rPr>
              <w:t>Entex contract price is $3.9225 + $.769</w:t>
            </w:r>
          </w:p>
        </w:tc>
        <w:tc>
          <w:tcPr>
            <w:tcW w:w="958" w:type="dxa"/>
            <w:tcBorders/>
            <w:vAlign w:val="bottom"/>
          </w:tcPr>
          <w:p>
            <w:pPr>
              <w:pStyle w:val="Normal"/>
              <w:snapToGrid w:val="false"/>
              <w:rPr>
                <w:rFonts w:ascii="Arial" w:hAnsi="Arial" w:cs="Arial"/>
                <w:b/>
                <w:bCs/>
                <w:i/>
                <w:i/>
                <w:iCs/>
                <w:sz w:val="20"/>
              </w:rPr>
            </w:pPr>
            <w:r>
              <w:rPr>
                <w:rFonts w:cs="Arial" w:ascii="Arial" w:hAnsi="Arial"/>
                <w:b/>
                <w:bCs/>
                <w:i/>
                <w:iCs/>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810" w:type="dxa"/>
            <w:gridSpan w:val="2"/>
            <w:tcBorders/>
            <w:vAlign w:val="bottom"/>
          </w:tcPr>
          <w:p>
            <w:pPr>
              <w:pStyle w:val="Normal"/>
              <w:snapToGrid w:val="false"/>
              <w:jc w:val="center"/>
              <w:rPr>
                <w:rFonts w:ascii="Arial" w:hAnsi="Arial" w:cs="Arial"/>
                <w:sz w:val="12"/>
              </w:rPr>
            </w:pPr>
            <w:r>
              <w:rPr>
                <w:rFonts w:cs="Arial" w:ascii="Arial" w:hAnsi="Arial"/>
                <w:sz w:val="12"/>
              </w:rPr>
            </w:r>
          </w:p>
        </w:tc>
        <w:tc>
          <w:tcPr>
            <w:tcW w:w="630" w:type="dxa"/>
            <w:tcBorders/>
            <w:vAlign w:val="bottom"/>
          </w:tcPr>
          <w:p>
            <w:pPr>
              <w:pStyle w:val="Normal"/>
              <w:snapToGrid w:val="false"/>
              <w:rPr>
                <w:rFonts w:ascii="Arial" w:hAnsi="Arial" w:cs="Arial"/>
                <w:sz w:val="12"/>
              </w:rPr>
            </w:pPr>
            <w:r>
              <w:rPr>
                <w:rFonts w:cs="Arial" w:ascii="Arial" w:hAnsi="Arial"/>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rPr>
                <w:rFonts w:ascii="Arial" w:hAnsi="Arial" w:cs="Arial"/>
                <w:sz w:val="12"/>
              </w:rPr>
            </w:pPr>
            <w:r>
              <w:rPr>
                <w:rFonts w:cs="Arial" w:ascii="Arial" w:hAnsi="Arial"/>
                <w:sz w:val="12"/>
              </w:rPr>
            </w:r>
          </w:p>
        </w:tc>
        <w:tc>
          <w:tcPr>
            <w:tcW w:w="135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snapToGrid w:val="false"/>
              <w:rPr>
                <w:rFonts w:ascii="Arial" w:hAnsi="Arial" w:cs="Arial"/>
                <w:sz w:val="20"/>
              </w:rPr>
            </w:pPr>
            <w:r>
              <w:rPr>
                <w:rFonts w:cs="Arial" w:ascii="Arial" w:hAnsi="Arial"/>
                <w:sz w:val="20"/>
              </w:rPr>
            </w:r>
          </w:p>
        </w:tc>
        <w:tc>
          <w:tcPr>
            <w:tcW w:w="900"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2700" w:type="dxa"/>
            <w:gridSpan w:val="5"/>
            <w:tcBorders/>
            <w:vAlign w:val="bottom"/>
          </w:tcPr>
          <w:p>
            <w:pPr>
              <w:pStyle w:val="Normal"/>
              <w:rPr>
                <w:rFonts w:ascii="Arial" w:hAnsi="Arial" w:cs="Arial"/>
                <w:b/>
                <w:bCs/>
                <w:i/>
                <w:i/>
                <w:iCs/>
                <w:sz w:val="12"/>
              </w:rPr>
            </w:pPr>
            <w:r>
              <w:rPr>
                <w:rFonts w:cs="Arial" w:ascii="Arial" w:hAnsi="Arial"/>
                <w:b/>
                <w:bCs/>
                <w:i/>
                <w:iCs/>
                <w:sz w:val="12"/>
              </w:rPr>
              <w:t>Entex contract price is $3.605 + .769.</w:t>
            </w:r>
          </w:p>
        </w:tc>
        <w:tc>
          <w:tcPr>
            <w:tcW w:w="630" w:type="dxa"/>
            <w:tcBorders/>
            <w:vAlign w:val="bottom"/>
          </w:tcPr>
          <w:p>
            <w:pPr>
              <w:pStyle w:val="Normal"/>
              <w:snapToGrid w:val="false"/>
              <w:rPr>
                <w:rFonts w:ascii="Arial" w:hAnsi="Arial" w:cs="Arial"/>
                <w:b/>
                <w:bCs/>
                <w:i/>
                <w:i/>
                <w:iCs/>
                <w:sz w:val="12"/>
              </w:rPr>
            </w:pPr>
            <w:r>
              <w:rPr>
                <w:rFonts w:cs="Arial" w:ascii="Arial" w:hAnsi="Arial"/>
                <w:b/>
                <w:bCs/>
                <w:i/>
                <w:iCs/>
                <w:sz w:val="12"/>
              </w:rPr>
            </w:r>
          </w:p>
        </w:tc>
        <w:tc>
          <w:tcPr>
            <w:tcW w:w="460" w:type="dxa"/>
            <w:tcBorders/>
            <w:vAlign w:val="bottom"/>
          </w:tcPr>
          <w:p>
            <w:pPr>
              <w:pStyle w:val="Normal"/>
              <w:snapToGrid w:val="false"/>
              <w:rPr>
                <w:rFonts w:ascii="Arial" w:hAnsi="Arial" w:cs="Arial"/>
                <w:sz w:val="12"/>
              </w:rPr>
            </w:pPr>
            <w:r>
              <w:rPr>
                <w:rFonts w:cs="Arial" w:ascii="Arial" w:hAnsi="Arial"/>
                <w:sz w:val="12"/>
              </w:rPr>
            </w:r>
          </w:p>
        </w:tc>
        <w:tc>
          <w:tcPr>
            <w:tcW w:w="2870" w:type="dxa"/>
            <w:gridSpan w:val="9"/>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rPr>
                <w:rFonts w:ascii="Arial" w:hAnsi="Arial" w:cs="Arial"/>
                <w:sz w:val="12"/>
              </w:rPr>
            </w:pPr>
            <w:r>
              <w:rPr>
                <w:rFonts w:cs="Arial" w:ascii="Arial" w:hAnsi="Arial"/>
                <w:sz w:val="12"/>
              </w:rPr>
            </w:r>
          </w:p>
        </w:tc>
        <w:tc>
          <w:tcPr>
            <w:tcW w:w="135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snapToGrid w:val="false"/>
              <w:rPr>
                <w:rFonts w:ascii="Arial" w:hAnsi="Arial" w:cs="Arial"/>
                <w:sz w:val="20"/>
              </w:rPr>
            </w:pPr>
            <w:r>
              <w:rPr>
                <w:rFonts w:cs="Arial" w:ascii="Arial" w:hAnsi="Arial"/>
                <w:sz w:val="20"/>
              </w:rPr>
            </w:r>
          </w:p>
        </w:tc>
        <w:tc>
          <w:tcPr>
            <w:tcW w:w="900"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r>
      <w:tr>
        <w:trPr>
          <w:trHeight w:val="255" w:hRule="atLeast"/>
        </w:trPr>
        <w:tc>
          <w:tcPr>
            <w:tcW w:w="460" w:type="dxa"/>
            <w:tcBorders/>
            <w:vAlign w:val="bottom"/>
          </w:tcPr>
          <w:p>
            <w:pPr>
              <w:pStyle w:val="Normal"/>
              <w:snapToGrid w:val="false"/>
              <w:rPr>
                <w:rFonts w:ascii="Arial" w:hAnsi="Arial" w:cs="Arial"/>
                <w:sz w:val="12"/>
              </w:rPr>
            </w:pPr>
            <w:r>
              <w:rPr>
                <w:rFonts w:cs="Arial" w:ascii="Arial" w:hAnsi="Arial"/>
                <w:sz w:val="12"/>
              </w:rPr>
            </w:r>
          </w:p>
        </w:tc>
        <w:tc>
          <w:tcPr>
            <w:tcW w:w="896" w:type="dxa"/>
            <w:gridSpan w:val="2"/>
            <w:tcBorders/>
            <w:vAlign w:val="bottom"/>
          </w:tcPr>
          <w:p>
            <w:pPr>
              <w:pStyle w:val="Normal"/>
              <w:snapToGrid w:val="false"/>
              <w:rPr>
                <w:rFonts w:ascii="Arial" w:hAnsi="Arial" w:cs="Arial"/>
                <w:sz w:val="12"/>
              </w:rPr>
            </w:pPr>
            <w:r>
              <w:rPr>
                <w:rFonts w:cs="Arial" w:ascii="Arial" w:hAnsi="Arial"/>
                <w:sz w:val="12"/>
              </w:rPr>
            </w:r>
          </w:p>
        </w:tc>
        <w:tc>
          <w:tcPr>
            <w:tcW w:w="1255" w:type="dxa"/>
            <w:gridSpan w:val="3"/>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52" w:type="dxa"/>
            <w:tcBorders/>
            <w:vAlign w:val="bottom"/>
          </w:tcPr>
          <w:p>
            <w:pPr>
              <w:pStyle w:val="Normal"/>
              <w:snapToGrid w:val="false"/>
              <w:rPr>
                <w:rFonts w:ascii="Arial" w:hAnsi="Arial" w:cs="Arial"/>
                <w:sz w:val="12"/>
              </w:rPr>
            </w:pPr>
            <w:r>
              <w:rPr>
                <w:rFonts w:cs="Arial" w:ascii="Arial" w:hAnsi="Arial"/>
                <w:sz w:val="12"/>
              </w:rPr>
            </w:r>
          </w:p>
        </w:tc>
        <w:tc>
          <w:tcPr>
            <w:tcW w:w="2340" w:type="dxa"/>
            <w:gridSpan w:val="4"/>
            <w:tcBorders/>
            <w:vAlign w:val="bottom"/>
          </w:tcPr>
          <w:p>
            <w:pPr>
              <w:pStyle w:val="Normal"/>
              <w:snapToGrid w:val="false"/>
              <w:rPr>
                <w:rFonts w:ascii="Arial" w:hAnsi="Arial" w:cs="Arial"/>
                <w:sz w:val="12"/>
              </w:rPr>
            </w:pPr>
            <w:r>
              <w:rPr>
                <w:rFonts w:cs="Arial" w:ascii="Arial" w:hAnsi="Arial"/>
                <w:sz w:val="12"/>
              </w:rPr>
            </w:r>
          </w:p>
        </w:tc>
        <w:tc>
          <w:tcPr>
            <w:tcW w:w="1979" w:type="dxa"/>
            <w:gridSpan w:val="4"/>
            <w:tcBorders/>
            <w:vAlign w:val="bottom"/>
          </w:tcPr>
          <w:p>
            <w:pPr>
              <w:pStyle w:val="Normal"/>
              <w:snapToGrid w:val="false"/>
              <w:rPr>
                <w:rFonts w:ascii="Arial" w:hAnsi="Arial" w:cs="Arial"/>
                <w:sz w:val="12"/>
              </w:rPr>
            </w:pPr>
            <w:r>
              <w:rPr>
                <w:rFonts w:cs="Arial" w:ascii="Arial" w:hAnsi="Arial"/>
                <w:sz w:val="12"/>
              </w:rPr>
            </w:r>
          </w:p>
        </w:tc>
        <w:tc>
          <w:tcPr>
            <w:tcW w:w="901" w:type="dxa"/>
            <w:gridSpan w:val="2"/>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jc w:val="center"/>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44" w:type="dxa"/>
            <w:tcBorders/>
            <w:vAlign w:val="bottom"/>
          </w:tcPr>
          <w:p>
            <w:pPr>
              <w:pStyle w:val="Normal"/>
              <w:snapToGrid w:val="false"/>
              <w:rPr>
                <w:rFonts w:ascii="Arial" w:hAnsi="Arial" w:cs="Arial"/>
                <w:sz w:val="12"/>
              </w:rPr>
            </w:pPr>
            <w:r>
              <w:rPr>
                <w:rFonts w:cs="Arial" w:ascii="Arial" w:hAnsi="Arial"/>
                <w:sz w:val="12"/>
              </w:rPr>
            </w:r>
          </w:p>
        </w:tc>
        <w:tc>
          <w:tcPr>
            <w:tcW w:w="1308" w:type="dxa"/>
            <w:gridSpan w:val="3"/>
            <w:tcBorders/>
            <w:vAlign w:val="bottom"/>
          </w:tcPr>
          <w:p>
            <w:pPr>
              <w:pStyle w:val="Normal"/>
              <w:snapToGrid w:val="false"/>
              <w:rPr>
                <w:rFonts w:ascii="Arial" w:hAnsi="Arial" w:cs="Arial"/>
                <w:sz w:val="12"/>
              </w:rPr>
            </w:pPr>
            <w:r>
              <w:rPr>
                <w:rFonts w:cs="Arial" w:ascii="Arial" w:hAnsi="Arial"/>
                <w:sz w:val="12"/>
              </w:rPr>
            </w:r>
          </w:p>
        </w:tc>
        <w:tc>
          <w:tcPr>
            <w:tcW w:w="540" w:type="dxa"/>
            <w:gridSpan w:val="2"/>
            <w:tcBorders/>
            <w:vAlign w:val="bottom"/>
          </w:tcPr>
          <w:p>
            <w:pPr>
              <w:pStyle w:val="Normal"/>
              <w:snapToGrid w:val="false"/>
              <w:rPr>
                <w:rFonts w:ascii="Arial" w:hAnsi="Arial" w:cs="Arial"/>
                <w:sz w:val="12"/>
              </w:rPr>
            </w:pPr>
            <w:r>
              <w:rPr>
                <w:rFonts w:cs="Arial" w:ascii="Arial" w:hAnsi="Arial"/>
                <w:sz w:val="12"/>
              </w:rPr>
            </w:r>
          </w:p>
        </w:tc>
        <w:tc>
          <w:tcPr>
            <w:tcW w:w="550" w:type="dxa"/>
            <w:tcBorders/>
            <w:tcMar>
              <w:top w:w="0" w:type="dxa"/>
              <w:start w:w="0" w:type="dxa"/>
              <w:end w:w="0" w:type="dxa"/>
            </w:tcMar>
            <w:vAlign w:val="bottom"/>
          </w:tcPr>
          <w:p>
            <w:pPr>
              <w:pStyle w:val="Normal"/>
              <w:snapToGrid w:val="false"/>
              <w:rPr>
                <w:rFonts w:ascii="Arial" w:hAnsi="Arial" w:cs="Arial"/>
                <w:sz w:val="12"/>
              </w:rPr>
            </w:pPr>
            <w:r>
              <w:rPr>
                <w:rFonts w:cs="Arial" w:ascii="Arial" w:hAnsi="Arial"/>
                <w:sz w:val="12"/>
              </w:rPr>
            </w:r>
          </w:p>
        </w:tc>
        <w:tc>
          <w:tcPr>
            <w:tcW w:w="1350" w:type="dxa"/>
            <w:gridSpan w:val="2"/>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630"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2245" w:type="dxa"/>
            <w:tcBorders/>
            <w:tcMar>
              <w:top w:w="0" w:type="dxa"/>
              <w:start w:w="0" w:type="dxa"/>
              <w:end w:w="0" w:type="dxa"/>
            </w:tcMar>
            <w:vAlign w:val="bottom"/>
          </w:tcPr>
          <w:p>
            <w:pPr>
              <w:pStyle w:val="Normal"/>
              <w:snapToGrid w:val="false"/>
              <w:jc w:val="center"/>
              <w:rPr>
                <w:rFonts w:ascii="Arial" w:hAnsi="Arial" w:cs="Arial"/>
                <w:sz w:val="12"/>
              </w:rPr>
            </w:pPr>
            <w:r>
              <w:rPr>
                <w:rFonts w:cs="Arial" w:ascii="Arial" w:hAnsi="Arial"/>
                <w:sz w:val="12"/>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1016" w:type="dxa"/>
            <w:tcBorders/>
            <w:vAlign w:val="bottom"/>
          </w:tcPr>
          <w:p>
            <w:pPr>
              <w:pStyle w:val="Normal"/>
              <w:snapToGrid w:val="false"/>
              <w:rPr>
                <w:rFonts w:ascii="Arial" w:hAnsi="Arial" w:cs="Arial"/>
                <w:sz w:val="20"/>
              </w:rPr>
            </w:pPr>
            <w:r>
              <w:rPr>
                <w:rFonts w:cs="Arial" w:ascii="Arial" w:hAnsi="Arial"/>
                <w:sz w:val="20"/>
              </w:rPr>
            </w:r>
          </w:p>
        </w:tc>
        <w:tc>
          <w:tcPr>
            <w:tcW w:w="900"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c>
          <w:tcPr>
            <w:tcW w:w="958" w:type="dxa"/>
            <w:tcBorders/>
            <w:vAlign w:val="bottom"/>
          </w:tcPr>
          <w:p>
            <w:pPr>
              <w:pStyle w:val="Normal"/>
              <w:snapToGrid w:val="false"/>
              <w:rPr>
                <w:rFonts w:ascii="Arial" w:hAnsi="Arial" w:cs="Arial"/>
                <w:sz w:val="20"/>
              </w:rPr>
            </w:pPr>
            <w:r>
              <w:rPr>
                <w:rFonts w:cs="Arial" w:ascii="Arial" w:hAnsi="Arial"/>
                <w:sz w:val="20"/>
              </w:rPr>
            </w:r>
          </w:p>
        </w:tc>
      </w:tr>
    </w:tbl>
    <w:p>
      <w:pPr>
        <w:sectPr>
          <w:headerReference w:type="default" r:id="rId20"/>
          <w:headerReference w:type="first" r:id="rId21"/>
          <w:footerReference w:type="default" r:id="rId22"/>
          <w:footerReference w:type="first" r:id="rId23"/>
          <w:type w:val="nextPage"/>
          <w:pgSz w:orient="landscape" w:w="15840" w:h="12240"/>
          <w:pgMar w:left="504" w:right="504" w:gutter="0" w:header="720" w:top="776" w:footer="720" w:bottom="776"/>
          <w:pgNumType w:fmt="decimal"/>
          <w:formProt w:val="false"/>
          <w:textDirection w:val="lrTb"/>
          <w:docGrid w:type="default" w:linePitch="360" w:charSpace="0"/>
        </w:sectPr>
      </w:pPr>
    </w:p>
    <w:p>
      <w:pPr>
        <w:pStyle w:val="Normal"/>
        <w:rPr>
          <w:rFonts w:ascii="Arial" w:hAnsi="Arial" w:cs="Arial"/>
          <w:b/>
          <w:bCs/>
        </w:rPr>
      </w:pPr>
      <w:r>
        <w:rPr>
          <w:rFonts w:cs="Arial" w:ascii="Arial" w:hAnsi="Arial"/>
          <w:b/>
          <w:bCs/>
        </w:rPr>
        <w:t>APPENDIX 4.19(a)</w:t>
      </w:r>
    </w:p>
    <w:p>
      <w:pPr>
        <w:pStyle w:val="Normal"/>
        <w:rPr>
          <w:rFonts w:ascii="Arial" w:hAnsi="Arial" w:cs="Arial"/>
          <w:b/>
          <w:bCs/>
        </w:rPr>
      </w:pPr>
      <w:r>
        <w:rPr>
          <w:rFonts w:cs="Arial" w:ascii="Arial" w:hAnsi="Arial"/>
          <w:b/>
          <w:bCs/>
        </w:rPr>
      </w:r>
    </w:p>
    <w:tbl>
      <w:tblPr>
        <w:tblW w:w="14580" w:type="dxa"/>
        <w:jc w:val="start"/>
        <w:tblInd w:w="-344" w:type="dxa"/>
        <w:tblLayout w:type="fixed"/>
        <w:tblCellMar>
          <w:top w:w="16" w:type="dxa"/>
          <w:start w:w="16" w:type="dxa"/>
          <w:bottom w:w="0" w:type="dxa"/>
          <w:end w:w="16" w:type="dxa"/>
        </w:tblCellMar>
      </w:tblPr>
      <w:tblGrid>
        <w:gridCol w:w="360"/>
        <w:gridCol w:w="180"/>
        <w:gridCol w:w="2684"/>
        <w:gridCol w:w="320"/>
        <w:gridCol w:w="1676"/>
        <w:gridCol w:w="1620"/>
        <w:gridCol w:w="360"/>
        <w:gridCol w:w="3364"/>
        <w:gridCol w:w="596"/>
        <w:gridCol w:w="1440"/>
        <w:gridCol w:w="1080"/>
        <w:gridCol w:w="180"/>
        <w:gridCol w:w="720"/>
      </w:tblGrid>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b/>
                <w:sz w:val="20"/>
              </w:rPr>
            </w:pPr>
            <w:r>
              <w:rPr>
                <w:rFonts w:cs="Arial" w:ascii="Arial" w:hAnsi="Arial"/>
                <w:b/>
                <w:bCs/>
                <w:sz w:val="20"/>
              </w:rPr>
              <w:t>Counterparty</w:t>
            </w:r>
          </w:p>
        </w:tc>
        <w:tc>
          <w:tcPr>
            <w:tcW w:w="320" w:type="dxa"/>
            <w:tcBorders/>
            <w:vAlign w:val="bottom"/>
          </w:tcPr>
          <w:p>
            <w:pPr>
              <w:pStyle w:val="Normal"/>
              <w:snapToGrid w:val="false"/>
              <w:rPr>
                <w:rFonts w:ascii="Arial" w:hAnsi="Arial" w:cs="Arial"/>
                <w:b/>
                <w:sz w:val="20"/>
              </w:rPr>
            </w:pPr>
            <w:r>
              <w:rPr>
                <w:rFonts w:cs="Arial" w:ascii="Arial" w:hAnsi="Arial"/>
                <w:b/>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Contract #</w:t>
            </w:r>
          </w:p>
        </w:tc>
        <w:tc>
          <w:tcPr>
            <w:tcW w:w="1620" w:type="dxa"/>
            <w:tcBorders/>
            <w:vAlign w:val="bottom"/>
          </w:tcPr>
          <w:p>
            <w:pPr>
              <w:pStyle w:val="Normal"/>
              <w:rPr>
                <w:rFonts w:ascii="Arial" w:hAnsi="Arial" w:cs="Arial"/>
                <w:b/>
                <w:sz w:val="20"/>
              </w:rPr>
            </w:pPr>
            <w:r>
              <w:rPr>
                <w:rFonts w:cs="Arial" w:ascii="Arial" w:hAnsi="Arial"/>
                <w:b/>
                <w:bCs/>
                <w:sz w:val="20"/>
              </w:rPr>
              <w:t>Volume</w:t>
            </w:r>
          </w:p>
        </w:tc>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3364" w:type="dxa"/>
            <w:tcBorders/>
            <w:vAlign w:val="bottom"/>
          </w:tcPr>
          <w:p>
            <w:pPr>
              <w:pStyle w:val="Normal"/>
              <w:rPr>
                <w:rFonts w:ascii="Arial" w:hAnsi="Arial" w:cs="Arial"/>
                <w:b/>
                <w:sz w:val="20"/>
              </w:rPr>
            </w:pPr>
            <w:r>
              <w:rPr>
                <w:rFonts w:cs="Arial" w:ascii="Arial" w:hAnsi="Arial"/>
                <w:b/>
                <w:bCs/>
                <w:sz w:val="20"/>
              </w:rPr>
              <w:t>Description</w:t>
            </w:r>
          </w:p>
        </w:tc>
        <w:tc>
          <w:tcPr>
            <w:tcW w:w="596" w:type="dxa"/>
            <w:tcBorders/>
            <w:vAlign w:val="bottom"/>
          </w:tcPr>
          <w:p>
            <w:pPr>
              <w:pStyle w:val="Normal"/>
              <w:snapToGrid w:val="false"/>
              <w:rPr>
                <w:rFonts w:ascii="Arial" w:hAnsi="Arial" w:cs="Arial"/>
                <w:b/>
                <w:sz w:val="20"/>
              </w:rPr>
            </w:pPr>
            <w:r>
              <w:rPr>
                <w:rFonts w:cs="Arial" w:ascii="Arial" w:hAnsi="Arial"/>
                <w:b/>
                <w:sz w:val="20"/>
              </w:rPr>
            </w:r>
          </w:p>
        </w:tc>
        <w:tc>
          <w:tcPr>
            <w:tcW w:w="1440" w:type="dxa"/>
            <w:tcBorders/>
            <w:vAlign w:val="bottom"/>
          </w:tcPr>
          <w:p>
            <w:pPr>
              <w:pStyle w:val="Normal"/>
              <w:rPr>
                <w:rFonts w:ascii="Arial" w:hAnsi="Arial" w:cs="Arial"/>
                <w:b/>
                <w:sz w:val="20"/>
              </w:rPr>
            </w:pPr>
            <w:r>
              <w:rPr>
                <w:rFonts w:cs="Arial" w:ascii="Arial" w:hAnsi="Arial"/>
                <w:b/>
                <w:bCs/>
                <w:sz w:val="20"/>
              </w:rPr>
              <w:t>Effective Price</w:t>
            </w:r>
          </w:p>
        </w:tc>
        <w:tc>
          <w:tcPr>
            <w:tcW w:w="1080" w:type="dxa"/>
            <w:tcBorders/>
            <w:vAlign w:val="bottom"/>
          </w:tcPr>
          <w:p>
            <w:pPr>
              <w:pStyle w:val="Normal"/>
              <w:jc w:val="end"/>
              <w:rPr>
                <w:rFonts w:ascii="Arial" w:hAnsi="Arial" w:cs="Arial"/>
                <w:b/>
                <w:sz w:val="20"/>
              </w:rPr>
            </w:pPr>
            <w:r>
              <w:rPr>
                <w:rFonts w:cs="Arial" w:ascii="Arial" w:hAnsi="Arial"/>
                <w:b/>
                <w:bCs/>
                <w:sz w:val="20"/>
              </w:rPr>
              <w:t>Start</w:t>
            </w:r>
          </w:p>
        </w:tc>
        <w:tc>
          <w:tcPr>
            <w:tcW w:w="180" w:type="dxa"/>
            <w:tcBorders/>
            <w:vAlign w:val="bottom"/>
          </w:tcPr>
          <w:p>
            <w:pPr>
              <w:pStyle w:val="Normal"/>
              <w:snapToGrid w:val="false"/>
              <w:jc w:val="end"/>
              <w:rPr>
                <w:rFonts w:ascii="Arial" w:hAnsi="Arial" w:cs="Arial"/>
                <w:b/>
                <w:sz w:val="20"/>
              </w:rPr>
            </w:pPr>
            <w:r>
              <w:rPr>
                <w:rFonts w:cs="Arial" w:ascii="Arial" w:hAnsi="Arial"/>
                <w:b/>
                <w:sz w:val="20"/>
              </w:rPr>
            </w:r>
          </w:p>
        </w:tc>
        <w:tc>
          <w:tcPr>
            <w:tcW w:w="720" w:type="dxa"/>
            <w:tcBorders/>
            <w:vAlign w:val="bottom"/>
          </w:tcPr>
          <w:p>
            <w:pPr>
              <w:pStyle w:val="Normal"/>
              <w:jc w:val="end"/>
              <w:rPr>
                <w:rFonts w:ascii="Arial" w:hAnsi="Arial" w:cs="Arial"/>
                <w:b/>
                <w:sz w:val="20"/>
              </w:rPr>
            </w:pPr>
            <w:r>
              <w:rPr>
                <w:rFonts w:cs="Arial" w:ascii="Arial" w:hAnsi="Arial"/>
                <w:b/>
                <w:bCs/>
                <w:sz w:val="20"/>
              </w:rPr>
              <w:t>End</w:t>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1</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Entex Gas Res</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96053954</w:t>
            </w:r>
          </w:p>
        </w:tc>
        <w:tc>
          <w:tcPr>
            <w:tcW w:w="1620" w:type="dxa"/>
            <w:tcBorders/>
            <w:vAlign w:val="bottom"/>
          </w:tcPr>
          <w:p>
            <w:pPr>
              <w:pStyle w:val="Normal"/>
              <w:rPr>
                <w:rFonts w:ascii="Arial" w:hAnsi="Arial" w:cs="Arial"/>
                <w:sz w:val="20"/>
              </w:rPr>
            </w:pPr>
            <w:r>
              <w:rPr>
                <w:rFonts w:cs="Arial" w:ascii="Arial" w:hAnsi="Arial"/>
                <w:sz w:val="20"/>
              </w:rPr>
              <w:t>100,000/Month</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Greater of $3.77 or IF HSC + .02</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Oct-01</w:t>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2</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Entex Gas Res</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96019120</w:t>
            </w:r>
          </w:p>
        </w:tc>
        <w:tc>
          <w:tcPr>
            <w:tcW w:w="1620" w:type="dxa"/>
            <w:tcBorders/>
            <w:vAlign w:val="bottom"/>
          </w:tcPr>
          <w:p>
            <w:pPr>
              <w:pStyle w:val="Normal"/>
              <w:rPr>
                <w:rFonts w:ascii="Arial" w:hAnsi="Arial" w:cs="Arial"/>
                <w:sz w:val="20"/>
              </w:rPr>
            </w:pPr>
            <w:r>
              <w:rPr>
                <w:rFonts w:cs="Arial" w:ascii="Arial" w:hAnsi="Arial"/>
                <w:sz w:val="20"/>
              </w:rPr>
              <w:t>5,000/day</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IF HSC - $.1425</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Oct-01</w:t>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3</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Reliant Energy-Entex</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96019120</w:t>
            </w:r>
          </w:p>
        </w:tc>
        <w:tc>
          <w:tcPr>
            <w:tcW w:w="1620" w:type="dxa"/>
            <w:tcBorders/>
            <w:vAlign w:val="bottom"/>
          </w:tcPr>
          <w:p>
            <w:pPr>
              <w:pStyle w:val="Normal"/>
              <w:rPr>
                <w:rFonts w:ascii="Arial" w:hAnsi="Arial" w:cs="Arial"/>
                <w:sz w:val="20"/>
              </w:rPr>
            </w:pPr>
            <w:r>
              <w:rPr>
                <w:rFonts w:cs="Arial" w:ascii="Arial" w:hAnsi="Arial"/>
                <w:sz w:val="20"/>
              </w:rPr>
              <w:t>5,000/day</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Greater of HSC + (.769 -.15)</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Oct-01</w:t>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or $4.00 + (.769 - .15)</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10024" w:type="dxa"/>
            <w:gridSpan w:val="6"/>
            <w:tcBorders/>
            <w:vAlign w:val="bottom"/>
          </w:tcPr>
          <w:p>
            <w:pPr>
              <w:pStyle w:val="Normal"/>
              <w:rPr>
                <w:rFonts w:ascii="Arial" w:hAnsi="Arial" w:cs="Arial"/>
                <w:sz w:val="20"/>
              </w:rPr>
            </w:pPr>
            <w:r>
              <w:rPr>
                <w:rFonts w:cs="Arial" w:ascii="Arial" w:hAnsi="Arial"/>
                <w:sz w:val="20"/>
              </w:rPr>
              <w:t xml:space="preserve">Note: Deals 2 and 3 work together:  Option premium paid to Entex is split between 2 deals </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4</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Equistar</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96000240</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10,000/day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Higher of HSC-.05 or 2.23</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May-01</w:t>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5</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Equistar</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96000240</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20,000/day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960" w:type="dxa"/>
            <w:gridSpan w:val="2"/>
            <w:tcBorders/>
            <w:vAlign w:val="bottom"/>
          </w:tcPr>
          <w:p>
            <w:pPr>
              <w:pStyle w:val="Normal"/>
              <w:rPr>
                <w:rFonts w:ascii="Arial" w:hAnsi="Arial" w:cs="Arial"/>
                <w:sz w:val="20"/>
              </w:rPr>
            </w:pPr>
            <w:r>
              <w:rPr>
                <w:rFonts w:cs="Arial" w:ascii="Arial" w:hAnsi="Arial"/>
                <w:sz w:val="20"/>
              </w:rPr>
              <w:t>Either we sell @ 2.26 or we don't flow gas</w:t>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Mar-03</w:t>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6</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Equistar</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96050348</w:t>
            </w:r>
            <w:r>
              <w:rPr>
                <w:rStyle w:val="FootnoteCharacters"/>
                <w:rStyle w:val="FootnoteReference"/>
                <w:rFonts w:cs="Arial" w:ascii="Arial" w:hAnsi="Arial"/>
                <w:b/>
                <w:bCs/>
                <w:sz w:val="20"/>
              </w:rPr>
              <w:footnoteReference w:customMarkFollows="1" w:id="2"/>
              <w:t>*</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10,000/day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Higher of HSC-.2 or 3.30</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Mar-02</w:t>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7</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Equistar</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96050476</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5,000/day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Higher of HSC-.1 or 2.86</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Mar-02</w:t>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8</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Equistar</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96037753</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10,000/day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rPr>
                <w:rFonts w:ascii="Arial" w:hAnsi="Arial" w:cs="Arial"/>
                <w:sz w:val="20"/>
              </w:rPr>
            </w:pPr>
            <w:r>
              <w:rPr>
                <w:rFonts w:cs="Arial" w:ascii="Arial" w:hAnsi="Arial"/>
                <w:sz w:val="20"/>
              </w:rPr>
              <w:t>Higher of HSC-.05 or 2.20</w:t>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Jun-00</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May-01</w:t>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9</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Equistar</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96000240</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10,000/day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960" w:type="dxa"/>
            <w:gridSpan w:val="2"/>
            <w:tcBorders/>
            <w:vAlign w:val="bottom"/>
          </w:tcPr>
          <w:p>
            <w:pPr>
              <w:pStyle w:val="Normal"/>
              <w:rPr>
                <w:rFonts w:ascii="Arial" w:hAnsi="Arial" w:cs="Arial"/>
                <w:sz w:val="20"/>
              </w:rPr>
            </w:pPr>
            <w:r>
              <w:rPr>
                <w:rFonts w:cs="Arial" w:ascii="Arial" w:hAnsi="Arial"/>
                <w:sz w:val="20"/>
              </w:rPr>
              <w:t>Either we sell @ 2.18 or we don't flow gas</w:t>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Feb-02</w:t>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jc w:val="end"/>
              <w:rPr>
                <w:rFonts w:ascii="Arial" w:hAnsi="Arial" w:cs="Arial"/>
                <w:b/>
                <w:sz w:val="20"/>
              </w:rPr>
            </w:pPr>
            <w:r>
              <w:rPr>
                <w:rFonts w:cs="Arial" w:ascii="Arial" w:hAnsi="Arial"/>
                <w:b/>
                <w:bCs/>
                <w:sz w:val="20"/>
              </w:rPr>
              <w:t>10</w:t>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rPr>
                <w:rFonts w:ascii="Arial" w:hAnsi="Arial" w:cs="Arial"/>
                <w:sz w:val="20"/>
              </w:rPr>
            </w:pPr>
            <w:r>
              <w:rPr>
                <w:rFonts w:cs="Arial" w:ascii="Arial" w:hAnsi="Arial"/>
                <w:sz w:val="20"/>
              </w:rPr>
              <w:t>Austin Tech</w:t>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jc w:val="center"/>
              <w:rPr>
                <w:rFonts w:ascii="Arial" w:hAnsi="Arial" w:cs="Arial"/>
                <w:b/>
                <w:sz w:val="20"/>
              </w:rPr>
            </w:pPr>
            <w:r>
              <w:rPr>
                <w:rFonts w:cs="Arial" w:ascii="Arial" w:hAnsi="Arial"/>
                <w:b/>
                <w:bCs/>
                <w:sz w:val="20"/>
              </w:rPr>
              <w:t>96052816</w:t>
            </w:r>
          </w:p>
        </w:tc>
        <w:tc>
          <w:tcPr>
            <w:tcW w:w="1620" w:type="dxa"/>
            <w:tcBorders/>
            <w:vAlign w:val="bottom"/>
          </w:tcPr>
          <w:p>
            <w:pPr>
              <w:pStyle w:val="Normal"/>
              <w:rPr>
                <w:rFonts w:ascii="Arial" w:hAnsi="Arial" w:cs="Arial"/>
                <w:sz w:val="20"/>
              </w:rPr>
            </w:pPr>
            <w:r>
              <w:rPr>
                <w:rFonts w:eastAsia="Arial" w:cs="Arial" w:ascii="Arial" w:hAnsi="Arial"/>
                <w:sz w:val="20"/>
              </w:rPr>
              <w:t xml:space="preserve"> </w:t>
            </w:r>
            <w:r>
              <w:rPr>
                <w:rFonts w:cs="Arial" w:ascii="Arial" w:hAnsi="Arial"/>
                <w:sz w:val="20"/>
              </w:rPr>
              <w:t xml:space="preserve">1,000/day </w:t>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960" w:type="dxa"/>
            <w:gridSpan w:val="2"/>
            <w:tcBorders/>
            <w:vAlign w:val="bottom"/>
          </w:tcPr>
          <w:p>
            <w:pPr>
              <w:pStyle w:val="Normal"/>
              <w:rPr>
                <w:rFonts w:ascii="Arial" w:hAnsi="Arial" w:cs="Arial"/>
                <w:sz w:val="20"/>
              </w:rPr>
            </w:pPr>
            <w:r>
              <w:rPr>
                <w:rFonts w:cs="Arial" w:ascii="Arial" w:hAnsi="Arial"/>
                <w:sz w:val="20"/>
              </w:rPr>
              <w:t xml:space="preserve">greater of IF-HSC + $0.045 or $3.50.  </w:t>
            </w:r>
          </w:p>
        </w:tc>
        <w:tc>
          <w:tcPr>
            <w:tcW w:w="1440" w:type="dxa"/>
            <w:tcBorders/>
            <w:vAlign w:val="bottom"/>
          </w:tcPr>
          <w:p>
            <w:pPr>
              <w:pStyle w:val="Normal"/>
              <w:rPr>
                <w:rFonts w:ascii="Arial" w:hAnsi="Arial" w:cs="Arial"/>
                <w:sz w:val="20"/>
              </w:rPr>
            </w:pPr>
            <w:r>
              <w:rPr>
                <w:rFonts w:cs="Arial" w:ascii="Arial" w:hAnsi="Arial"/>
                <w:sz w:val="20"/>
              </w:rPr>
              <w:t>HSC Index</w:t>
            </w:r>
          </w:p>
        </w:tc>
        <w:tc>
          <w:tcPr>
            <w:tcW w:w="1080" w:type="dxa"/>
            <w:tcBorders/>
            <w:vAlign w:val="bottom"/>
          </w:tcPr>
          <w:p>
            <w:pPr>
              <w:pStyle w:val="Normal"/>
              <w:jc w:val="end"/>
              <w:rPr>
                <w:rFonts w:ascii="Arial" w:hAnsi="Arial" w:cs="Arial"/>
                <w:sz w:val="20"/>
              </w:rPr>
            </w:pPr>
            <w:r>
              <w:rPr>
                <w:rFonts w:cs="Arial" w:ascii="Arial" w:hAnsi="Arial"/>
                <w:sz w:val="20"/>
              </w:rPr>
              <w:t>Apr-01</w:t>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jc w:val="end"/>
              <w:rPr>
                <w:rFonts w:ascii="Arial" w:hAnsi="Arial" w:cs="Arial"/>
                <w:sz w:val="20"/>
              </w:rPr>
            </w:pPr>
            <w:r>
              <w:rPr>
                <w:rFonts w:cs="Arial" w:ascii="Arial" w:hAnsi="Arial"/>
                <w:sz w:val="20"/>
              </w:rPr>
              <w:t>Nov-01</w:t>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jc w:val="end"/>
              <w:rPr>
                <w:rFonts w:ascii="Arial" w:hAnsi="Arial" w:cs="Arial"/>
                <w:sz w:val="20"/>
              </w:rPr>
            </w:pPr>
            <w:r>
              <w:rPr>
                <w:rFonts w:cs="Arial" w:ascii="Arial" w:hAnsi="Arial"/>
                <w:sz w:val="20"/>
              </w:rPr>
            </w:r>
          </w:p>
        </w:tc>
        <w:tc>
          <w:tcPr>
            <w:tcW w:w="180" w:type="dxa"/>
            <w:tcBorders/>
            <w:vAlign w:val="bottom"/>
          </w:tcPr>
          <w:p>
            <w:pPr>
              <w:pStyle w:val="Normal"/>
              <w:snapToGrid w:val="false"/>
              <w:jc w:val="end"/>
              <w:rPr>
                <w:rFonts w:ascii="Arial" w:hAnsi="Arial" w:cs="Arial"/>
                <w:sz w:val="20"/>
              </w:rPr>
            </w:pPr>
            <w:r>
              <w:rPr>
                <w:rFonts w:cs="Arial" w:ascii="Arial" w:hAnsi="Arial"/>
                <w:sz w:val="20"/>
              </w:rPr>
            </w:r>
          </w:p>
        </w:tc>
        <w:tc>
          <w:tcPr>
            <w:tcW w:w="720" w:type="dxa"/>
            <w:tcBorders/>
            <w:vAlign w:val="bottom"/>
          </w:tcPr>
          <w:p>
            <w:pPr>
              <w:pStyle w:val="Normal"/>
              <w:snapToGrid w:val="false"/>
              <w:jc w:val="end"/>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r>
        <w:trPr>
          <w:trHeight w:val="264" w:hRule="atLeast"/>
        </w:trPr>
        <w:tc>
          <w:tcPr>
            <w:tcW w:w="360" w:type="dxa"/>
            <w:tcBorders/>
            <w:vAlign w:val="bottom"/>
          </w:tcPr>
          <w:p>
            <w:pPr>
              <w:pStyle w:val="Normal"/>
              <w:snapToGrid w:val="false"/>
              <w:rPr>
                <w:rFonts w:ascii="Arial" w:hAnsi="Arial" w:cs="Arial"/>
                <w:b/>
                <w:sz w:val="20"/>
              </w:rPr>
            </w:pPr>
            <w:r>
              <w:rPr>
                <w:rFonts w:cs="Arial" w:ascii="Arial" w:hAnsi="Arial"/>
                <w:b/>
                <w:sz w:val="20"/>
              </w:rPr>
            </w:r>
          </w:p>
        </w:tc>
        <w:tc>
          <w:tcPr>
            <w:tcW w:w="180" w:type="dxa"/>
            <w:tcBorders/>
            <w:vAlign w:val="bottom"/>
          </w:tcPr>
          <w:p>
            <w:pPr>
              <w:pStyle w:val="Normal"/>
              <w:snapToGrid w:val="false"/>
              <w:rPr>
                <w:rFonts w:ascii="Arial" w:hAnsi="Arial" w:cs="Arial"/>
                <w:b/>
                <w:sz w:val="20"/>
              </w:rPr>
            </w:pPr>
            <w:r>
              <w:rPr>
                <w:rFonts w:cs="Arial" w:ascii="Arial" w:hAnsi="Arial"/>
                <w:b/>
                <w:sz w:val="20"/>
              </w:rPr>
            </w:r>
          </w:p>
        </w:tc>
        <w:tc>
          <w:tcPr>
            <w:tcW w:w="2684" w:type="dxa"/>
            <w:tcBorders/>
            <w:vAlign w:val="bottom"/>
          </w:tcPr>
          <w:p>
            <w:pPr>
              <w:pStyle w:val="Normal"/>
              <w:snapToGrid w:val="false"/>
              <w:rPr>
                <w:rFonts w:ascii="Arial" w:hAnsi="Arial" w:cs="Arial"/>
                <w:sz w:val="20"/>
              </w:rPr>
            </w:pPr>
            <w:r>
              <w:rPr>
                <w:rFonts w:cs="Arial" w:ascii="Arial" w:hAnsi="Arial"/>
                <w:sz w:val="20"/>
              </w:rPr>
            </w:r>
          </w:p>
        </w:tc>
        <w:tc>
          <w:tcPr>
            <w:tcW w:w="320" w:type="dxa"/>
            <w:tcBorders/>
            <w:vAlign w:val="bottom"/>
          </w:tcPr>
          <w:p>
            <w:pPr>
              <w:pStyle w:val="Normal"/>
              <w:snapToGrid w:val="false"/>
              <w:rPr>
                <w:rFonts w:ascii="Arial" w:hAnsi="Arial" w:cs="Arial"/>
                <w:sz w:val="20"/>
              </w:rPr>
            </w:pPr>
            <w:r>
              <w:rPr>
                <w:rFonts w:cs="Arial" w:ascii="Arial" w:hAnsi="Arial"/>
                <w:sz w:val="20"/>
              </w:rPr>
            </w:r>
          </w:p>
        </w:tc>
        <w:tc>
          <w:tcPr>
            <w:tcW w:w="1676" w:type="dxa"/>
            <w:tcBorders/>
            <w:vAlign w:val="bottom"/>
          </w:tcPr>
          <w:p>
            <w:pPr>
              <w:pStyle w:val="Normal"/>
              <w:snapToGrid w:val="false"/>
              <w:jc w:val="center"/>
              <w:rPr>
                <w:rFonts w:ascii="Arial" w:hAnsi="Arial" w:cs="Arial"/>
                <w:b/>
                <w:sz w:val="20"/>
              </w:rPr>
            </w:pPr>
            <w:r>
              <w:rPr>
                <w:rFonts w:cs="Arial" w:ascii="Arial" w:hAnsi="Arial"/>
                <w:b/>
                <w:sz w:val="20"/>
              </w:rPr>
            </w:r>
          </w:p>
        </w:tc>
        <w:tc>
          <w:tcPr>
            <w:tcW w:w="1620" w:type="dxa"/>
            <w:tcBorders/>
            <w:vAlign w:val="bottom"/>
          </w:tcPr>
          <w:p>
            <w:pPr>
              <w:pStyle w:val="Normal"/>
              <w:snapToGrid w:val="false"/>
              <w:rPr>
                <w:rFonts w:ascii="Arial" w:hAnsi="Arial" w:cs="Arial"/>
                <w:b/>
                <w:sz w:val="20"/>
              </w:rPr>
            </w:pPr>
            <w:r>
              <w:rPr>
                <w:rFonts w:cs="Arial" w:ascii="Arial" w:hAnsi="Arial"/>
                <w:b/>
                <w:sz w:val="20"/>
              </w:rPr>
            </w:r>
          </w:p>
        </w:tc>
        <w:tc>
          <w:tcPr>
            <w:tcW w:w="360" w:type="dxa"/>
            <w:tcBorders/>
            <w:vAlign w:val="bottom"/>
          </w:tcPr>
          <w:p>
            <w:pPr>
              <w:pStyle w:val="Normal"/>
              <w:snapToGrid w:val="false"/>
              <w:rPr>
                <w:rFonts w:ascii="Arial" w:hAnsi="Arial" w:cs="Arial"/>
                <w:sz w:val="20"/>
              </w:rPr>
            </w:pPr>
            <w:r>
              <w:rPr>
                <w:rFonts w:cs="Arial" w:ascii="Arial" w:hAnsi="Arial"/>
                <w:sz w:val="20"/>
              </w:rPr>
            </w:r>
          </w:p>
        </w:tc>
        <w:tc>
          <w:tcPr>
            <w:tcW w:w="3364" w:type="dxa"/>
            <w:tcBorders/>
            <w:vAlign w:val="bottom"/>
          </w:tcPr>
          <w:p>
            <w:pPr>
              <w:pStyle w:val="Normal"/>
              <w:snapToGrid w:val="false"/>
              <w:rPr>
                <w:rFonts w:ascii="Arial" w:hAnsi="Arial" w:cs="Arial"/>
                <w:sz w:val="20"/>
              </w:rPr>
            </w:pPr>
            <w:r>
              <w:rPr>
                <w:rFonts w:cs="Arial" w:ascii="Arial" w:hAnsi="Arial"/>
                <w:sz w:val="20"/>
              </w:rPr>
            </w:r>
          </w:p>
        </w:tc>
        <w:tc>
          <w:tcPr>
            <w:tcW w:w="596" w:type="dxa"/>
            <w:tcBorders/>
            <w:vAlign w:val="bottom"/>
          </w:tcPr>
          <w:p>
            <w:pPr>
              <w:pStyle w:val="Normal"/>
              <w:snapToGrid w:val="false"/>
              <w:rPr>
                <w:rFonts w:ascii="Arial" w:hAnsi="Arial" w:cs="Arial"/>
                <w:sz w:val="20"/>
              </w:rPr>
            </w:pPr>
            <w:r>
              <w:rPr>
                <w:rFonts w:cs="Arial" w:ascii="Arial" w:hAnsi="Arial"/>
                <w:sz w:val="20"/>
              </w:rPr>
            </w:r>
          </w:p>
        </w:tc>
        <w:tc>
          <w:tcPr>
            <w:tcW w:w="1440" w:type="dxa"/>
            <w:tcBorders/>
            <w:vAlign w:val="bottom"/>
          </w:tcPr>
          <w:p>
            <w:pPr>
              <w:pStyle w:val="Normal"/>
              <w:snapToGrid w:val="false"/>
              <w:rPr>
                <w:rFonts w:ascii="Arial" w:hAnsi="Arial" w:cs="Arial"/>
                <w:sz w:val="20"/>
              </w:rPr>
            </w:pPr>
            <w:r>
              <w:rPr>
                <w:rFonts w:cs="Arial" w:ascii="Arial" w:hAnsi="Arial"/>
                <w:sz w:val="20"/>
              </w:rPr>
            </w:r>
          </w:p>
        </w:tc>
        <w:tc>
          <w:tcPr>
            <w:tcW w:w="1080" w:type="dxa"/>
            <w:tcBorders/>
            <w:vAlign w:val="bottom"/>
          </w:tcPr>
          <w:p>
            <w:pPr>
              <w:pStyle w:val="Normal"/>
              <w:snapToGrid w:val="false"/>
              <w:rPr>
                <w:rFonts w:ascii="Arial" w:hAnsi="Arial" w:cs="Arial"/>
                <w:sz w:val="20"/>
              </w:rPr>
            </w:pPr>
            <w:r>
              <w:rPr>
                <w:rFonts w:cs="Arial" w:ascii="Arial" w:hAnsi="Arial"/>
                <w:sz w:val="20"/>
              </w:rPr>
            </w:r>
          </w:p>
        </w:tc>
        <w:tc>
          <w:tcPr>
            <w:tcW w:w="180" w:type="dxa"/>
            <w:tcBorders/>
            <w:vAlign w:val="bottom"/>
          </w:tcPr>
          <w:p>
            <w:pPr>
              <w:pStyle w:val="Normal"/>
              <w:snapToGrid w:val="false"/>
              <w:rPr>
                <w:rFonts w:ascii="Arial" w:hAnsi="Arial" w:cs="Arial"/>
                <w:sz w:val="20"/>
              </w:rPr>
            </w:pPr>
            <w:r>
              <w:rPr>
                <w:rFonts w:cs="Arial" w:ascii="Arial" w:hAnsi="Arial"/>
                <w:sz w:val="20"/>
              </w:rPr>
            </w:r>
          </w:p>
        </w:tc>
        <w:tc>
          <w:tcPr>
            <w:tcW w:w="720" w:type="dxa"/>
            <w:tcBorders/>
            <w:vAlign w:val="bottom"/>
          </w:tcPr>
          <w:p>
            <w:pPr>
              <w:pStyle w:val="Normal"/>
              <w:snapToGrid w:val="false"/>
              <w:rPr>
                <w:rFonts w:ascii="Arial" w:hAnsi="Arial" w:cs="Arial"/>
                <w:sz w:val="20"/>
              </w:rPr>
            </w:pPr>
            <w:r>
              <w:rPr>
                <w:rFonts w:cs="Arial" w:ascii="Arial" w:hAnsi="Arial"/>
                <w:sz w:val="20"/>
              </w:rPr>
            </w:r>
          </w:p>
        </w:tc>
      </w:tr>
    </w:tbl>
    <w:p>
      <w:pPr>
        <w:sectPr>
          <w:headerReference w:type="default" r:id="rId24"/>
          <w:headerReference w:type="first" r:id="rId25"/>
          <w:footerReference w:type="default" r:id="rId26"/>
          <w:footerReference w:type="first" r:id="rId27"/>
          <w:footnotePr>
            <w:numFmt w:val="decimal"/>
          </w:footnotePr>
          <w:type w:val="nextPage"/>
          <w:pgSz w:orient="landscape" w:w="15840" w:h="12240"/>
          <w:pgMar w:left="720" w:right="720" w:gutter="0" w:header="720" w:top="1440" w:footer="720" w:bottom="1440"/>
          <w:pgNumType w:fmt="decimal"/>
          <w:formProt w:val="false"/>
          <w:textDirection w:val="lrTb"/>
          <w:docGrid w:type="default" w:linePitch="360" w:charSpace="0"/>
        </w:sectPr>
        <w:pStyle w:val="VEBodyText"/>
        <w:rPr/>
      </w:pPr>
      <w:r>
        <w:rPr/>
      </w:r>
    </w:p>
    <w:p>
      <w:pPr>
        <w:pStyle w:val="Normal"/>
        <w:jc w:val="center"/>
        <w:rPr>
          <w:rFonts w:ascii="Arial" w:hAnsi="Arial" w:cs="Arial"/>
          <w:b/>
          <w:bCs/>
          <w:sz w:val="22"/>
          <w:szCs w:val="22"/>
        </w:rPr>
      </w:pPr>
      <w:r>
        <w:rPr>
          <w:rFonts w:cs="Arial" w:ascii="Arial" w:hAnsi="Arial"/>
          <w:b/>
          <w:bCs/>
          <w:sz w:val="22"/>
          <w:szCs w:val="22"/>
        </w:rPr>
        <w:t>APPENDIX 4.19(b)</w:t>
      </w:r>
    </w:p>
    <w:tbl>
      <w:tblPr>
        <w:tblW w:w="7420" w:type="dxa"/>
        <w:jc w:val="start"/>
        <w:tblInd w:w="0" w:type="dxa"/>
        <w:tblLayout w:type="fixed"/>
        <w:tblCellMar>
          <w:top w:w="16" w:type="dxa"/>
          <w:start w:w="16" w:type="dxa"/>
          <w:bottom w:w="0" w:type="dxa"/>
          <w:end w:w="16" w:type="dxa"/>
        </w:tblCellMar>
      </w:tblPr>
      <w:tblGrid>
        <w:gridCol w:w="980"/>
        <w:gridCol w:w="3140"/>
        <w:gridCol w:w="3300"/>
      </w:tblGrid>
      <w:tr>
        <w:trPr>
          <w:trHeight w:val="276" w:hRule="atLeast"/>
        </w:trPr>
        <w:tc>
          <w:tcPr>
            <w:tcW w:w="980" w:type="dxa"/>
            <w:tcBorders/>
            <w:vAlign w:val="bottom"/>
          </w:tcPr>
          <w:p>
            <w:pPr>
              <w:pStyle w:val="Normal"/>
              <w:snapToGrid w:val="false"/>
              <w:jc w:val="center"/>
              <w:rPr>
                <w:rFonts w:ascii="Arial" w:hAnsi="Arial" w:cs="Arial"/>
                <w:b/>
                <w:sz w:val="22"/>
                <w:szCs w:val="22"/>
              </w:rPr>
            </w:pPr>
            <w:r>
              <w:rPr>
                <w:rFonts w:cs="Arial" w:ascii="Arial" w:hAnsi="Arial"/>
                <w:b/>
                <w:sz w:val="22"/>
                <w:szCs w:val="22"/>
              </w:rPr>
            </w:r>
          </w:p>
        </w:tc>
        <w:tc>
          <w:tcPr>
            <w:tcW w:w="3140" w:type="dxa"/>
            <w:tcBorders/>
            <w:vAlign w:val="bottom"/>
          </w:tcPr>
          <w:p>
            <w:pPr>
              <w:pStyle w:val="Normal"/>
              <w:snapToGrid w:val="false"/>
              <w:jc w:val="center"/>
              <w:rPr>
                <w:rFonts w:ascii="Arial" w:hAnsi="Arial" w:cs="Arial"/>
                <w:b/>
                <w:sz w:val="22"/>
                <w:szCs w:val="22"/>
              </w:rPr>
            </w:pPr>
            <w:r>
              <w:rPr>
                <w:rFonts w:cs="Arial" w:ascii="Arial" w:hAnsi="Arial"/>
                <w:b/>
                <w:sz w:val="22"/>
                <w:szCs w:val="22"/>
              </w:rPr>
            </w:r>
          </w:p>
        </w:tc>
        <w:tc>
          <w:tcPr>
            <w:tcW w:w="3300" w:type="dxa"/>
            <w:tcBorders/>
            <w:vAlign w:val="bottom"/>
          </w:tcPr>
          <w:p>
            <w:pPr>
              <w:pStyle w:val="Normal"/>
              <w:snapToGrid w:val="false"/>
              <w:jc w:val="center"/>
              <w:rPr>
                <w:rFonts w:ascii="Arial" w:hAnsi="Arial" w:cs="Arial"/>
                <w:b/>
                <w:sz w:val="22"/>
                <w:szCs w:val="22"/>
              </w:rPr>
            </w:pPr>
            <w:r>
              <w:rPr>
                <w:rFonts w:cs="Arial" w:ascii="Arial" w:hAnsi="Arial"/>
                <w:b/>
                <w:sz w:val="22"/>
                <w:szCs w:val="22"/>
              </w:rPr>
            </w:r>
          </w:p>
        </w:tc>
      </w:tr>
      <w:tr>
        <w:trPr>
          <w:trHeight w:val="276" w:hRule="atLeast"/>
        </w:trPr>
        <w:tc>
          <w:tcPr>
            <w:tcW w:w="980" w:type="dxa"/>
            <w:tcBorders>
              <w:bottom w:val="single" w:sz="4" w:space="0" w:color="000000"/>
            </w:tcBorders>
            <w:vAlign w:val="bottom"/>
          </w:tcPr>
          <w:p>
            <w:pPr>
              <w:pStyle w:val="Normal"/>
              <w:jc w:val="center"/>
              <w:rPr>
                <w:rFonts w:ascii="Arial" w:hAnsi="Arial" w:cs="Arial"/>
                <w:b/>
                <w:sz w:val="22"/>
                <w:szCs w:val="22"/>
              </w:rPr>
            </w:pPr>
            <w:r>
              <w:rPr>
                <w:rFonts w:cs="Arial" w:ascii="Arial" w:hAnsi="Arial"/>
                <w:b/>
                <w:bCs/>
                <w:sz w:val="22"/>
                <w:szCs w:val="22"/>
              </w:rPr>
              <w:t>K #</w:t>
            </w:r>
          </w:p>
        </w:tc>
        <w:tc>
          <w:tcPr>
            <w:tcW w:w="3140" w:type="dxa"/>
            <w:tcBorders>
              <w:bottom w:val="single" w:sz="4" w:space="0" w:color="000000"/>
            </w:tcBorders>
            <w:vAlign w:val="bottom"/>
          </w:tcPr>
          <w:p>
            <w:pPr>
              <w:pStyle w:val="Normal"/>
              <w:jc w:val="center"/>
              <w:rPr>
                <w:rFonts w:ascii="Arial" w:hAnsi="Arial" w:cs="Arial"/>
                <w:b/>
                <w:sz w:val="22"/>
                <w:szCs w:val="22"/>
              </w:rPr>
            </w:pPr>
            <w:r>
              <w:rPr>
                <w:rFonts w:cs="Arial" w:ascii="Arial" w:hAnsi="Arial"/>
                <w:b/>
                <w:bCs/>
                <w:sz w:val="22"/>
                <w:szCs w:val="22"/>
              </w:rPr>
              <w:t>CONTRACT TYPE</w:t>
            </w:r>
          </w:p>
        </w:tc>
        <w:tc>
          <w:tcPr>
            <w:tcW w:w="3300" w:type="dxa"/>
            <w:tcBorders>
              <w:bottom w:val="single" w:sz="4" w:space="0" w:color="000000"/>
            </w:tcBorders>
            <w:vAlign w:val="bottom"/>
          </w:tcPr>
          <w:p>
            <w:pPr>
              <w:pStyle w:val="Normal"/>
              <w:jc w:val="center"/>
              <w:rPr>
                <w:rFonts w:ascii="Arial" w:hAnsi="Arial" w:cs="Arial"/>
                <w:b/>
                <w:sz w:val="22"/>
                <w:szCs w:val="22"/>
              </w:rPr>
            </w:pPr>
            <w:r>
              <w:rPr>
                <w:rFonts w:cs="Arial" w:ascii="Arial" w:hAnsi="Arial"/>
                <w:b/>
                <w:bCs/>
                <w:sz w:val="22"/>
                <w:szCs w:val="22"/>
              </w:rPr>
              <w:t>COUNTERPARTY NAME</w:t>
            </w:r>
          </w:p>
        </w:tc>
      </w:tr>
      <w:tr>
        <w:trPr>
          <w:trHeight w:val="135" w:hRule="atLeast"/>
        </w:trPr>
        <w:tc>
          <w:tcPr>
            <w:tcW w:w="980" w:type="dxa"/>
            <w:tcBorders/>
            <w:vAlign w:val="bottom"/>
          </w:tcPr>
          <w:p>
            <w:pPr>
              <w:pStyle w:val="Normal"/>
              <w:snapToGrid w:val="false"/>
              <w:jc w:val="center"/>
              <w:rPr>
                <w:rFonts w:ascii="Arial" w:hAnsi="Arial" w:cs="Arial"/>
                <w:b/>
                <w:sz w:val="20"/>
                <w:szCs w:val="22"/>
              </w:rPr>
            </w:pPr>
            <w:r>
              <w:rPr>
                <w:rFonts w:cs="Arial" w:ascii="Arial" w:hAnsi="Arial"/>
                <w:b/>
                <w:sz w:val="20"/>
                <w:szCs w:val="22"/>
              </w:rPr>
            </w:r>
          </w:p>
        </w:tc>
        <w:tc>
          <w:tcPr>
            <w:tcW w:w="3140" w:type="dxa"/>
            <w:tcBorders/>
            <w:vAlign w:val="bottom"/>
          </w:tcPr>
          <w:p>
            <w:pPr>
              <w:pStyle w:val="Normal"/>
              <w:snapToGrid w:val="false"/>
              <w:jc w:val="center"/>
              <w:rPr>
                <w:rFonts w:ascii="Arial" w:hAnsi="Arial" w:cs="Arial"/>
                <w:sz w:val="20"/>
              </w:rPr>
            </w:pPr>
            <w:r>
              <w:rPr>
                <w:rFonts w:cs="Arial" w:ascii="Arial" w:hAnsi="Arial"/>
                <w:sz w:val="20"/>
              </w:rPr>
            </w:r>
          </w:p>
        </w:tc>
        <w:tc>
          <w:tcPr>
            <w:tcW w:w="3300" w:type="dxa"/>
            <w:tcBorders/>
            <w:vAlign w:val="bottom"/>
          </w:tcPr>
          <w:p>
            <w:pPr>
              <w:pStyle w:val="Normal"/>
              <w:snapToGrid w:val="false"/>
              <w:jc w:val="center"/>
              <w:rPr>
                <w:rFonts w:ascii="Arial" w:hAnsi="Arial" w:cs="Arial"/>
                <w:sz w:val="20"/>
              </w:rPr>
            </w:pPr>
            <w:r>
              <w:rPr>
                <w:rFonts w:cs="Arial" w:ascii="Arial" w:hAnsi="Arial"/>
                <w:sz w:val="20"/>
              </w:rPr>
            </w:r>
          </w:p>
        </w:tc>
      </w:tr>
      <w:tr>
        <w:trPr>
          <w:trHeight w:val="270" w:hRule="atLeast"/>
        </w:trPr>
        <w:tc>
          <w:tcPr>
            <w:tcW w:w="7420" w:type="dxa"/>
            <w:gridSpan w:val="3"/>
            <w:tcBorders/>
            <w:vAlign w:val="bottom"/>
          </w:tcPr>
          <w:p>
            <w:pPr>
              <w:pStyle w:val="Normal"/>
              <w:rPr>
                <w:rFonts w:ascii="Arial" w:hAnsi="Arial" w:cs="Arial"/>
                <w:b/>
                <w:szCs w:val="24"/>
              </w:rPr>
            </w:pPr>
            <w:r>
              <w:rPr>
                <w:rFonts w:cs="Arial" w:ascii="Arial" w:hAnsi="Arial"/>
                <w:b/>
                <w:bCs/>
              </w:rPr>
              <w:t>THESE CONTRACTS WILL REMAIN IN PLACE</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96013414</w:t>
            </w:r>
          </w:p>
        </w:tc>
        <w:tc>
          <w:tcPr>
            <w:tcW w:w="3140" w:type="dxa"/>
            <w:tcBorders/>
            <w:vAlign w:val="bottom"/>
          </w:tcPr>
          <w:p>
            <w:pPr>
              <w:pStyle w:val="Normal"/>
              <w:jc w:val="center"/>
              <w:rPr>
                <w:rFonts w:ascii="Arial" w:hAnsi="Arial" w:cs="Arial"/>
                <w:sz w:val="20"/>
              </w:rPr>
            </w:pPr>
            <w:r>
              <w:rPr>
                <w:rFonts w:cs="Arial" w:ascii="Arial" w:hAnsi="Arial"/>
                <w:sz w:val="20"/>
              </w:rPr>
              <w:t>Master Purchase Sale Firm</w:t>
            </w:r>
          </w:p>
        </w:tc>
        <w:tc>
          <w:tcPr>
            <w:tcW w:w="3300" w:type="dxa"/>
            <w:tcBorders/>
            <w:vAlign w:val="bottom"/>
          </w:tcPr>
          <w:p>
            <w:pPr>
              <w:pStyle w:val="Normal"/>
              <w:jc w:val="center"/>
              <w:rPr>
                <w:rFonts w:ascii="Arial" w:hAnsi="Arial" w:cs="Arial"/>
                <w:sz w:val="20"/>
              </w:rPr>
            </w:pPr>
            <w:r>
              <w:rPr>
                <w:rFonts w:cs="Arial" w:ascii="Arial" w:hAnsi="Arial"/>
                <w:sz w:val="20"/>
              </w:rPr>
              <w:t>EGP Fuels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96018826</w:t>
            </w:r>
          </w:p>
        </w:tc>
        <w:tc>
          <w:tcPr>
            <w:tcW w:w="3140" w:type="dxa"/>
            <w:tcBorders/>
            <w:vAlign w:val="bottom"/>
          </w:tcPr>
          <w:p>
            <w:pPr>
              <w:pStyle w:val="Normal"/>
              <w:jc w:val="center"/>
              <w:rPr>
                <w:rFonts w:ascii="Arial" w:hAnsi="Arial" w:cs="Arial"/>
                <w:sz w:val="20"/>
              </w:rPr>
            </w:pPr>
            <w:r>
              <w:rPr>
                <w:rFonts w:cs="Arial" w:ascii="Arial" w:hAnsi="Arial"/>
                <w:sz w:val="20"/>
              </w:rPr>
              <w:t>BuyBack</w:t>
            </w:r>
          </w:p>
        </w:tc>
        <w:tc>
          <w:tcPr>
            <w:tcW w:w="3300" w:type="dxa"/>
            <w:tcBorders/>
            <w:vAlign w:val="bottom"/>
          </w:tcPr>
          <w:p>
            <w:pPr>
              <w:pStyle w:val="Normal"/>
              <w:jc w:val="center"/>
              <w:rPr>
                <w:rFonts w:ascii="Arial" w:hAnsi="Arial" w:cs="Arial"/>
                <w:sz w:val="20"/>
              </w:rPr>
            </w:pPr>
            <w:r>
              <w:rPr>
                <w:rFonts w:cs="Arial" w:ascii="Arial" w:hAnsi="Arial"/>
                <w:sz w:val="20"/>
              </w:rPr>
              <w:t>EGP Fuels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96023787</w:t>
            </w:r>
          </w:p>
        </w:tc>
        <w:tc>
          <w:tcPr>
            <w:tcW w:w="3140" w:type="dxa"/>
            <w:tcBorders/>
            <w:vAlign w:val="bottom"/>
          </w:tcPr>
          <w:p>
            <w:pPr>
              <w:pStyle w:val="Normal"/>
              <w:jc w:val="center"/>
              <w:rPr>
                <w:rFonts w:ascii="Arial" w:hAnsi="Arial" w:cs="Arial"/>
                <w:sz w:val="20"/>
              </w:rPr>
            </w:pPr>
            <w:r>
              <w:rPr>
                <w:rFonts w:cs="Arial" w:ascii="Arial" w:hAnsi="Arial"/>
                <w:sz w:val="20"/>
              </w:rPr>
              <w:t>Netting Agreement</w:t>
            </w:r>
          </w:p>
        </w:tc>
        <w:tc>
          <w:tcPr>
            <w:tcW w:w="3300" w:type="dxa"/>
            <w:tcBorders/>
            <w:vAlign w:val="bottom"/>
          </w:tcPr>
          <w:p>
            <w:pPr>
              <w:pStyle w:val="Normal"/>
              <w:jc w:val="center"/>
              <w:rPr>
                <w:rFonts w:ascii="Arial" w:hAnsi="Arial" w:cs="Arial"/>
                <w:sz w:val="20"/>
              </w:rPr>
            </w:pPr>
            <w:r>
              <w:rPr>
                <w:rFonts w:cs="Arial" w:ascii="Arial" w:hAnsi="Arial"/>
                <w:sz w:val="20"/>
              </w:rPr>
              <w:t>EGP Fuels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96040141</w:t>
            </w:r>
          </w:p>
        </w:tc>
        <w:tc>
          <w:tcPr>
            <w:tcW w:w="3140" w:type="dxa"/>
            <w:tcBorders/>
            <w:vAlign w:val="bottom"/>
          </w:tcPr>
          <w:p>
            <w:pPr>
              <w:pStyle w:val="Normal"/>
              <w:jc w:val="center"/>
              <w:rPr>
                <w:rFonts w:ascii="Arial" w:hAnsi="Arial" w:cs="Arial"/>
                <w:sz w:val="20"/>
              </w:rPr>
            </w:pPr>
            <w:r>
              <w:rPr>
                <w:rFonts w:cs="Arial" w:ascii="Arial" w:hAnsi="Arial"/>
                <w:sz w:val="20"/>
              </w:rPr>
              <w:t>Netting Agreement</w:t>
            </w:r>
          </w:p>
        </w:tc>
        <w:tc>
          <w:tcPr>
            <w:tcW w:w="3300" w:type="dxa"/>
            <w:tcBorders/>
            <w:vAlign w:val="bottom"/>
          </w:tcPr>
          <w:p>
            <w:pPr>
              <w:pStyle w:val="Normal"/>
              <w:jc w:val="center"/>
              <w:rPr>
                <w:rFonts w:ascii="Arial" w:hAnsi="Arial" w:cs="Arial"/>
                <w:sz w:val="20"/>
              </w:rPr>
            </w:pPr>
            <w:r>
              <w:rPr>
                <w:rFonts w:cs="Arial" w:ascii="Arial" w:hAnsi="Arial"/>
                <w:sz w:val="20"/>
              </w:rPr>
              <w:t>HPL Resources Liquids Division</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96018827</w:t>
            </w:r>
          </w:p>
        </w:tc>
        <w:tc>
          <w:tcPr>
            <w:tcW w:w="3140" w:type="dxa"/>
            <w:tcBorders/>
            <w:vAlign w:val="bottom"/>
          </w:tcPr>
          <w:p>
            <w:pPr>
              <w:pStyle w:val="Normal"/>
              <w:jc w:val="center"/>
              <w:rPr>
                <w:rFonts w:ascii="Arial" w:hAnsi="Arial" w:cs="Arial"/>
                <w:sz w:val="20"/>
              </w:rPr>
            </w:pPr>
            <w:r>
              <w:rPr>
                <w:rFonts w:cs="Arial" w:ascii="Arial" w:hAnsi="Arial"/>
                <w:sz w:val="20"/>
              </w:rPr>
              <w:t>BuyBack</w:t>
            </w:r>
          </w:p>
        </w:tc>
        <w:tc>
          <w:tcPr>
            <w:tcW w:w="3300" w:type="dxa"/>
            <w:tcBorders/>
            <w:vAlign w:val="bottom"/>
          </w:tcPr>
          <w:p>
            <w:pPr>
              <w:pStyle w:val="Normal"/>
              <w:jc w:val="center"/>
              <w:rPr>
                <w:rFonts w:ascii="Arial" w:hAnsi="Arial" w:cs="Arial"/>
                <w:sz w:val="20"/>
              </w:rPr>
            </w:pPr>
            <w:r>
              <w:rPr>
                <w:rFonts w:cs="Arial" w:ascii="Arial" w:hAnsi="Arial"/>
                <w:sz w:val="20"/>
              </w:rPr>
              <w:t>Enron Methanol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96023792</w:t>
            </w:r>
          </w:p>
        </w:tc>
        <w:tc>
          <w:tcPr>
            <w:tcW w:w="3140" w:type="dxa"/>
            <w:tcBorders/>
            <w:vAlign w:val="bottom"/>
          </w:tcPr>
          <w:p>
            <w:pPr>
              <w:pStyle w:val="Normal"/>
              <w:jc w:val="center"/>
              <w:rPr>
                <w:rFonts w:ascii="Arial" w:hAnsi="Arial" w:cs="Arial"/>
                <w:sz w:val="20"/>
              </w:rPr>
            </w:pPr>
            <w:r>
              <w:rPr>
                <w:rFonts w:cs="Arial" w:ascii="Arial" w:hAnsi="Arial"/>
                <w:sz w:val="20"/>
              </w:rPr>
              <w:t>BuyBack</w:t>
            </w:r>
          </w:p>
        </w:tc>
        <w:tc>
          <w:tcPr>
            <w:tcW w:w="3300" w:type="dxa"/>
            <w:tcBorders/>
            <w:vAlign w:val="bottom"/>
          </w:tcPr>
          <w:p>
            <w:pPr>
              <w:pStyle w:val="Normal"/>
              <w:jc w:val="center"/>
              <w:rPr>
                <w:rFonts w:ascii="Arial" w:hAnsi="Arial" w:cs="Arial"/>
                <w:sz w:val="20"/>
              </w:rPr>
            </w:pPr>
            <w:r>
              <w:rPr>
                <w:rFonts w:cs="Arial" w:ascii="Arial" w:hAnsi="Arial"/>
                <w:sz w:val="20"/>
              </w:rPr>
              <w:t>Enron Methanol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96023791</w:t>
            </w:r>
          </w:p>
        </w:tc>
        <w:tc>
          <w:tcPr>
            <w:tcW w:w="3140" w:type="dxa"/>
            <w:tcBorders/>
            <w:vAlign w:val="bottom"/>
          </w:tcPr>
          <w:p>
            <w:pPr>
              <w:pStyle w:val="Normal"/>
              <w:jc w:val="center"/>
              <w:rPr>
                <w:rFonts w:ascii="Arial" w:hAnsi="Arial" w:cs="Arial"/>
                <w:sz w:val="20"/>
              </w:rPr>
            </w:pPr>
            <w:r>
              <w:rPr>
                <w:rFonts w:cs="Arial" w:ascii="Arial" w:hAnsi="Arial"/>
                <w:sz w:val="20"/>
              </w:rPr>
              <w:t>Netting Agreement</w:t>
            </w:r>
          </w:p>
        </w:tc>
        <w:tc>
          <w:tcPr>
            <w:tcW w:w="3300" w:type="dxa"/>
            <w:tcBorders/>
            <w:vAlign w:val="bottom"/>
          </w:tcPr>
          <w:p>
            <w:pPr>
              <w:pStyle w:val="Normal"/>
              <w:jc w:val="center"/>
              <w:rPr>
                <w:rFonts w:ascii="Arial" w:hAnsi="Arial" w:cs="Arial"/>
                <w:sz w:val="20"/>
              </w:rPr>
            </w:pPr>
            <w:r>
              <w:rPr>
                <w:rFonts w:cs="Arial" w:ascii="Arial" w:hAnsi="Arial"/>
                <w:sz w:val="20"/>
              </w:rPr>
              <w:t>Enron Methanol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96004320</w:t>
            </w:r>
          </w:p>
        </w:tc>
        <w:tc>
          <w:tcPr>
            <w:tcW w:w="3140" w:type="dxa"/>
            <w:tcBorders/>
            <w:vAlign w:val="bottom"/>
          </w:tcPr>
          <w:p>
            <w:pPr>
              <w:pStyle w:val="Normal"/>
              <w:jc w:val="center"/>
              <w:rPr>
                <w:rFonts w:ascii="Arial" w:hAnsi="Arial" w:cs="Arial"/>
                <w:sz w:val="20"/>
              </w:rPr>
            </w:pPr>
            <w:r>
              <w:rPr>
                <w:rFonts w:cs="Arial" w:ascii="Arial" w:hAnsi="Arial"/>
                <w:sz w:val="20"/>
              </w:rPr>
              <w:t>Production Payment</w:t>
            </w:r>
          </w:p>
        </w:tc>
        <w:tc>
          <w:tcPr>
            <w:tcW w:w="3300" w:type="dxa"/>
            <w:tcBorders/>
            <w:vAlign w:val="bottom"/>
          </w:tcPr>
          <w:p>
            <w:pPr>
              <w:pStyle w:val="Normal"/>
              <w:jc w:val="center"/>
              <w:rPr>
                <w:rFonts w:ascii="Arial" w:hAnsi="Arial" w:cs="Arial"/>
                <w:sz w:val="20"/>
              </w:rPr>
            </w:pPr>
            <w:r>
              <w:rPr>
                <w:rFonts w:cs="Arial" w:ascii="Arial" w:hAnsi="Arial"/>
                <w:sz w:val="20"/>
              </w:rPr>
              <w:t>ERAC - Finance</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96022778</w:t>
            </w:r>
          </w:p>
        </w:tc>
        <w:tc>
          <w:tcPr>
            <w:tcW w:w="3140" w:type="dxa"/>
            <w:tcBorders/>
            <w:vAlign w:val="bottom"/>
          </w:tcPr>
          <w:p>
            <w:pPr>
              <w:pStyle w:val="Normal"/>
              <w:jc w:val="center"/>
              <w:rPr>
                <w:rFonts w:ascii="Arial" w:hAnsi="Arial" w:cs="Arial"/>
                <w:sz w:val="20"/>
              </w:rPr>
            </w:pPr>
            <w:r>
              <w:rPr>
                <w:rFonts w:cs="Arial" w:ascii="Arial" w:hAnsi="Arial"/>
                <w:sz w:val="20"/>
              </w:rPr>
              <w:t>GTC Sale Spot</w:t>
            </w:r>
          </w:p>
        </w:tc>
        <w:tc>
          <w:tcPr>
            <w:tcW w:w="3300" w:type="dxa"/>
            <w:tcBorders/>
            <w:vAlign w:val="bottom"/>
          </w:tcPr>
          <w:p>
            <w:pPr>
              <w:pStyle w:val="Normal"/>
              <w:jc w:val="center"/>
              <w:rPr>
                <w:rFonts w:ascii="Arial" w:hAnsi="Arial" w:cs="Arial"/>
                <w:sz w:val="20"/>
              </w:rPr>
            </w:pPr>
            <w:r>
              <w:rPr>
                <w:rFonts w:cs="Arial" w:ascii="Arial" w:hAnsi="Arial"/>
                <w:sz w:val="20"/>
              </w:rPr>
              <w:t>HPL Resources Company</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96002839</w:t>
            </w:r>
          </w:p>
        </w:tc>
        <w:tc>
          <w:tcPr>
            <w:tcW w:w="3140" w:type="dxa"/>
            <w:tcBorders/>
            <w:vAlign w:val="bottom"/>
          </w:tcPr>
          <w:p>
            <w:pPr>
              <w:pStyle w:val="Normal"/>
              <w:jc w:val="center"/>
              <w:rPr>
                <w:rFonts w:ascii="Arial" w:hAnsi="Arial" w:cs="Arial"/>
                <w:sz w:val="20"/>
              </w:rPr>
            </w:pPr>
            <w:r>
              <w:rPr>
                <w:rFonts w:cs="Arial" w:ascii="Arial" w:hAnsi="Arial"/>
                <w:sz w:val="20"/>
              </w:rPr>
              <w:t>Master Purchase Sale Spot</w:t>
            </w:r>
          </w:p>
        </w:tc>
        <w:tc>
          <w:tcPr>
            <w:tcW w:w="3300" w:type="dxa"/>
            <w:tcBorders/>
            <w:vAlign w:val="bottom"/>
          </w:tcPr>
          <w:p>
            <w:pPr>
              <w:pStyle w:val="Normal"/>
              <w:jc w:val="center"/>
              <w:rPr>
                <w:rFonts w:ascii="Arial" w:hAnsi="Arial" w:cs="Arial"/>
                <w:sz w:val="20"/>
              </w:rPr>
            </w:pPr>
            <w:r>
              <w:rPr>
                <w:rFonts w:cs="Arial" w:ascii="Arial" w:hAnsi="Arial"/>
                <w:sz w:val="20"/>
              </w:rPr>
              <w:t>HPL Resources Liquids Division</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96018307</w:t>
            </w:r>
          </w:p>
        </w:tc>
        <w:tc>
          <w:tcPr>
            <w:tcW w:w="3140" w:type="dxa"/>
            <w:tcBorders/>
            <w:vAlign w:val="bottom"/>
          </w:tcPr>
          <w:p>
            <w:pPr>
              <w:pStyle w:val="Normal"/>
              <w:jc w:val="center"/>
              <w:rPr>
                <w:rFonts w:ascii="Arial" w:hAnsi="Arial" w:cs="Arial"/>
                <w:sz w:val="20"/>
              </w:rPr>
            </w:pPr>
            <w:r>
              <w:rPr>
                <w:rFonts w:cs="Arial" w:ascii="Arial" w:hAnsi="Arial"/>
                <w:sz w:val="20"/>
              </w:rPr>
              <w:t>Transportation</w:t>
            </w:r>
          </w:p>
        </w:tc>
        <w:tc>
          <w:tcPr>
            <w:tcW w:w="3300" w:type="dxa"/>
            <w:tcBorders/>
            <w:vAlign w:val="bottom"/>
          </w:tcPr>
          <w:p>
            <w:pPr>
              <w:pStyle w:val="Normal"/>
              <w:jc w:val="center"/>
              <w:rPr>
                <w:rFonts w:ascii="Arial" w:hAnsi="Arial" w:cs="Arial"/>
                <w:sz w:val="20"/>
              </w:rPr>
            </w:pPr>
            <w:r>
              <w:rPr>
                <w:rFonts w:cs="Arial" w:ascii="Arial" w:hAnsi="Arial"/>
                <w:sz w:val="20"/>
              </w:rPr>
              <w:t>HPL Resources Liquids Division</w:t>
            </w:r>
          </w:p>
        </w:tc>
      </w:tr>
      <w:tr>
        <w:trPr>
          <w:trHeight w:val="264" w:hRule="atLeast"/>
        </w:trPr>
        <w:tc>
          <w:tcPr>
            <w:tcW w:w="980" w:type="dxa"/>
            <w:tcBorders/>
            <w:vAlign w:val="bottom"/>
          </w:tcPr>
          <w:p>
            <w:pPr>
              <w:pStyle w:val="Normal"/>
              <w:jc w:val="center"/>
              <w:rPr>
                <w:rFonts w:ascii="Arial" w:hAnsi="Arial" w:cs="Arial"/>
                <w:sz w:val="20"/>
              </w:rPr>
            </w:pPr>
            <w:r>
              <w:rPr>
                <w:rFonts w:cs="Arial" w:ascii="Arial" w:hAnsi="Arial"/>
                <w:sz w:val="20"/>
              </w:rPr>
              <w:t>96017303</w:t>
            </w:r>
          </w:p>
        </w:tc>
        <w:tc>
          <w:tcPr>
            <w:tcW w:w="3140" w:type="dxa"/>
            <w:tcBorders/>
            <w:vAlign w:val="bottom"/>
          </w:tcPr>
          <w:p>
            <w:pPr>
              <w:pStyle w:val="Normal"/>
              <w:jc w:val="center"/>
              <w:rPr>
                <w:rFonts w:ascii="Arial" w:hAnsi="Arial" w:cs="Arial"/>
                <w:sz w:val="20"/>
              </w:rPr>
            </w:pPr>
            <w:r>
              <w:rPr>
                <w:rFonts w:cs="Arial" w:ascii="Arial" w:hAnsi="Arial"/>
                <w:sz w:val="20"/>
              </w:rPr>
              <w:t>Transportation</w:t>
            </w:r>
          </w:p>
        </w:tc>
        <w:tc>
          <w:tcPr>
            <w:tcW w:w="3300" w:type="dxa"/>
            <w:tcBorders/>
            <w:vAlign w:val="bottom"/>
          </w:tcPr>
          <w:p>
            <w:pPr>
              <w:pStyle w:val="Normal"/>
              <w:jc w:val="center"/>
              <w:rPr>
                <w:rFonts w:ascii="Arial" w:hAnsi="Arial" w:cs="Arial"/>
                <w:sz w:val="20"/>
              </w:rPr>
            </w:pPr>
            <w:r>
              <w:rPr>
                <w:rFonts w:cs="Arial" w:ascii="Arial" w:hAnsi="Arial"/>
                <w:sz w:val="20"/>
              </w:rPr>
              <w:t>MidTexas Pipeline Company</w:t>
            </w:r>
          </w:p>
        </w:tc>
      </w:tr>
    </w:tbl>
    <w:p>
      <w:pPr>
        <w:pStyle w:val="VEBodyText"/>
        <w:rPr/>
      </w:pPr>
      <w:r>
        <w:rPr/>
      </w:r>
      <w:r>
        <w:br w:type="page"/>
      </w:r>
    </w:p>
    <w:p>
      <w:pPr>
        <w:pStyle w:val="Normal"/>
        <w:jc w:val="center"/>
        <w:rPr/>
      </w:pPr>
      <w:r>
        <w:rPr/>
        <w:t>Schedule 4.20</w:t>
      </w:r>
    </w:p>
    <w:p>
      <w:pPr>
        <w:pStyle w:val="Normal"/>
        <w:jc w:val="center"/>
        <w:rPr/>
      </w:pPr>
      <w:r>
        <w:rPr/>
        <w:t>Bank Account Schedule</w:t>
      </w:r>
    </w:p>
    <w:p>
      <w:pPr>
        <w:pStyle w:val="Normal"/>
        <w:rPr/>
      </w:pPr>
      <w:r>
        <w:rPr/>
      </w:r>
    </w:p>
    <w:p>
      <w:pPr>
        <w:pStyle w:val="Normal"/>
        <w:rPr>
          <w:u w:val="single"/>
        </w:rPr>
      </w:pPr>
      <w:r>
        <w:rPr>
          <w:u w:val="single"/>
        </w:rPr>
        <w:t>HOUSTON PIPE LINE COMPANY</w:t>
      </w:r>
    </w:p>
    <w:p>
      <w:pPr>
        <w:pStyle w:val="Normal"/>
        <w:rPr/>
      </w:pPr>
      <w:r>
        <w:rPr/>
        <w:t>Bank Accounts</w:t>
      </w:r>
    </w:p>
    <w:p>
      <w:pPr>
        <w:pStyle w:val="Normal"/>
        <w:rPr/>
      </w:pPr>
      <w:r>
        <w:rPr/>
      </w:r>
    </w:p>
    <w:p>
      <w:pPr>
        <w:pStyle w:val="Normal"/>
        <w:rPr/>
      </w:pPr>
      <w:r>
        <w:rPr/>
        <w:t>Bank of America</w:t>
      </w:r>
    </w:p>
    <w:p>
      <w:pPr>
        <w:pStyle w:val="Normal"/>
        <w:rPr/>
      </w:pPr>
      <w:r>
        <w:rPr/>
        <w:t>Account 3750494141</w:t>
      </w:r>
    </w:p>
    <w:p>
      <w:pPr>
        <w:pStyle w:val="Normal"/>
        <w:rPr/>
      </w:pPr>
      <w:r>
        <w:rPr/>
      </w:r>
    </w:p>
    <w:p>
      <w:pPr>
        <w:pStyle w:val="Normal"/>
        <w:rPr/>
      </w:pPr>
      <w:r>
        <w:rPr/>
        <w:t>To be closed once all checks have cleared</w:t>
      </w:r>
    </w:p>
    <w:p>
      <w:pPr>
        <w:pStyle w:val="Normal"/>
        <w:rPr/>
      </w:pPr>
      <w:r>
        <w:rPr/>
        <w:t>Citibank Delaware</w:t>
      </w:r>
    </w:p>
    <w:p>
      <w:pPr>
        <w:pStyle w:val="Normal"/>
        <w:rPr/>
      </w:pPr>
      <w:r>
        <w:rPr/>
        <w:t>Account 3911-0194</w:t>
      </w:r>
    </w:p>
    <w:p>
      <w:pPr>
        <w:pStyle w:val="Normal"/>
        <w:rPr/>
      </w:pPr>
      <w:r>
        <w:rPr/>
      </w:r>
    </w:p>
    <w:p>
      <w:pPr>
        <w:pStyle w:val="Normal"/>
        <w:rPr/>
      </w:pPr>
      <w:r>
        <w:rPr/>
        <w:t>Citibank Delaware</w:t>
      </w:r>
    </w:p>
    <w:p>
      <w:pPr>
        <w:pStyle w:val="Normal"/>
        <w:rPr/>
      </w:pPr>
      <w:r>
        <w:rPr/>
        <w:t>Account 3911-0207</w:t>
      </w:r>
    </w:p>
    <w:p>
      <w:pPr>
        <w:pStyle w:val="Normal"/>
        <w:rPr/>
      </w:pPr>
      <w:r>
        <w:rPr/>
      </w:r>
    </w:p>
    <w:p>
      <w:pPr>
        <w:pStyle w:val="Normal"/>
        <w:rPr/>
      </w:pPr>
      <w:r>
        <w:rPr/>
        <w:t>ALL ZERO BALANCE ACCOUNTS</w:t>
      </w:r>
    </w:p>
    <w:p>
      <w:pPr>
        <w:pStyle w:val="Normal"/>
        <w:rPr/>
      </w:pPr>
      <w:r>
        <w:rPr/>
      </w:r>
    </w:p>
    <w:p>
      <w:pPr>
        <w:pStyle w:val="Normal"/>
        <w:rPr>
          <w:u w:val="single"/>
        </w:rPr>
      </w:pPr>
      <w:r>
        <w:rPr>
          <w:u w:val="single"/>
        </w:rPr>
        <w:t>HPL RESOURCES COMPANY</w:t>
      </w:r>
    </w:p>
    <w:p>
      <w:pPr>
        <w:pStyle w:val="Normal"/>
        <w:rPr/>
      </w:pPr>
      <w:r>
        <w:rPr/>
        <w:t>Bank Accounts</w:t>
      </w:r>
    </w:p>
    <w:p>
      <w:pPr>
        <w:pStyle w:val="Normal"/>
        <w:rPr/>
      </w:pPr>
      <w:r>
        <w:rPr/>
      </w:r>
    </w:p>
    <w:p>
      <w:pPr>
        <w:pStyle w:val="Normal"/>
        <w:rPr/>
      </w:pPr>
      <w:r>
        <w:rPr/>
        <w:t>Bank of America</w:t>
      </w:r>
    </w:p>
    <w:p>
      <w:pPr>
        <w:pStyle w:val="Normal"/>
        <w:rPr/>
      </w:pPr>
      <w:r>
        <w:rPr/>
        <w:t>Account 3750494167</w:t>
      </w:r>
    </w:p>
    <w:p>
      <w:pPr>
        <w:pStyle w:val="Normal"/>
        <w:rPr/>
      </w:pPr>
      <w:r>
        <w:rPr/>
      </w:r>
    </w:p>
    <w:p>
      <w:pPr>
        <w:pStyle w:val="Normal"/>
        <w:rPr/>
      </w:pPr>
      <w:r>
        <w:rPr/>
        <w:t>Citibank Delaware</w:t>
      </w:r>
    </w:p>
    <w:p>
      <w:pPr>
        <w:pStyle w:val="Normal"/>
        <w:rPr/>
      </w:pPr>
      <w:r>
        <w:rPr/>
        <w:t>Account 3911-0215</w:t>
      </w:r>
      <w:r>
        <w:br w:type="page"/>
      </w:r>
    </w:p>
    <w:p>
      <w:pPr>
        <w:pStyle w:val="Normal"/>
        <w:jc w:val="center"/>
        <w:rPr/>
      </w:pPr>
      <w:r>
        <w:rPr/>
        <w:t>PURCHASE AND SALE AGREEMENT</w:t>
      </w:r>
    </w:p>
    <w:p>
      <w:pPr>
        <w:pStyle w:val="Normal"/>
        <w:jc w:val="center"/>
        <w:rPr/>
      </w:pPr>
      <w:r>
        <w:rPr/>
      </w:r>
    </w:p>
    <w:p>
      <w:pPr>
        <w:pStyle w:val="Normal"/>
        <w:jc w:val="center"/>
        <w:rPr/>
      </w:pPr>
      <w:r>
        <w:rPr/>
        <w:t>Schedule 4.21</w:t>
      </w:r>
    </w:p>
    <w:p>
      <w:pPr>
        <w:pStyle w:val="Normal"/>
        <w:jc w:val="center"/>
        <w:rPr/>
      </w:pPr>
      <w:r>
        <w:rPr/>
        <w:t>Brokers</w:t>
      </w:r>
    </w:p>
    <w:p>
      <w:pPr>
        <w:pStyle w:val="Normal"/>
        <w:jc w:val="center"/>
        <w:rPr/>
      </w:pPr>
      <w:r>
        <w:rPr/>
      </w:r>
    </w:p>
    <w:p>
      <w:pPr>
        <w:pStyle w:val="Normal"/>
        <w:jc w:val="center"/>
        <w:rPr/>
      </w:pPr>
      <w:r>
        <w:rPr/>
      </w:r>
    </w:p>
    <w:p>
      <w:pPr>
        <w:pStyle w:val="Normal"/>
        <w:rPr/>
      </w:pPr>
      <w:r>
        <w:rPr/>
        <w:t>Lehman Brothers has been retained by Seller as its financial advisor on account of this Agreement.</w:t>
      </w:r>
      <w:r>
        <w:br w:type="page"/>
      </w:r>
    </w:p>
    <w:p>
      <w:pPr>
        <w:pStyle w:val="Normal"/>
        <w:jc w:val="center"/>
        <w:rPr/>
      </w:pPr>
      <w:r>
        <w:rPr/>
        <w:t>PURCHASE AND SALE AGREEMENT</w:t>
      </w:r>
    </w:p>
    <w:p>
      <w:pPr>
        <w:pStyle w:val="Normal"/>
        <w:jc w:val="center"/>
        <w:rPr/>
      </w:pPr>
      <w:r>
        <w:rPr/>
      </w:r>
    </w:p>
    <w:p>
      <w:pPr>
        <w:pStyle w:val="Normal"/>
        <w:jc w:val="center"/>
        <w:rPr/>
      </w:pPr>
      <w:r>
        <w:rPr/>
        <w:t>Schedule 4.22</w:t>
      </w:r>
    </w:p>
    <w:p>
      <w:pPr>
        <w:pStyle w:val="Normal"/>
        <w:jc w:val="center"/>
        <w:rPr/>
      </w:pPr>
      <w:r>
        <w:rPr/>
        <w:t>Sufficiency of Assets</w:t>
      </w:r>
    </w:p>
    <w:p>
      <w:pPr>
        <w:pStyle w:val="Normal"/>
        <w:rPr/>
      </w:pPr>
      <w:r>
        <w:rPr/>
      </w:r>
    </w:p>
    <w:p>
      <w:pPr>
        <w:pStyle w:val="Normal"/>
        <w:rPr/>
      </w:pPr>
      <w:r>
        <w:rPr/>
      </w:r>
    </w:p>
    <w:p>
      <w:pPr>
        <w:pStyle w:val="Normal"/>
        <w:rPr/>
      </w:pPr>
      <w:r>
        <w:rPr/>
        <w:t>Exception for any changes in the conduct of the Acquired Companies’ business or the sufficiency of assets used therein as a result of the A/S Line Incident.</w:t>
      </w:r>
    </w:p>
    <w:p>
      <w:pPr>
        <w:pStyle w:val="Normal"/>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5.4</w:t>
      </w:r>
    </w:p>
    <w:p>
      <w:pPr>
        <w:pStyle w:val="Normal"/>
        <w:jc w:val="center"/>
        <w:rPr/>
      </w:pPr>
      <w:r>
        <w:rPr/>
        <w:t>Consents and Approvals-Buyer</w:t>
      </w:r>
    </w:p>
    <w:p>
      <w:pPr>
        <w:pStyle w:val="Normal"/>
        <w:jc w:val="center"/>
        <w:rPr/>
      </w:pPr>
      <w:r>
        <w:rPr/>
      </w:r>
    </w:p>
    <w:p>
      <w:pPr>
        <w:pStyle w:val="Normal"/>
        <w:jc w:val="both"/>
        <w:rPr/>
      </w:pPr>
      <w:r>
        <w:rPr/>
        <w:tab/>
        <w:t>Clearance of the transactions contemplated by the Purchase and Sale Agreement under the provisions of the Hart Scott Rodino Antitrust Improvements Act of 1976.</w:t>
      </w:r>
    </w:p>
    <w:p>
      <w:pPr>
        <w:pStyle w:val="Normal"/>
        <w:jc w:val="both"/>
        <w:rPr/>
      </w:pPr>
      <w:r>
        <w:rPr/>
      </w:r>
    </w:p>
    <w:p>
      <w:pPr>
        <w:pStyle w:val="Normal"/>
        <w:jc w:val="both"/>
        <w:rPr/>
      </w:pPr>
      <w:r>
        <w:rPr/>
        <w:tab/>
        <w:t>The SEC Approval</w:t>
      </w:r>
    </w:p>
    <w:p>
      <w:pPr>
        <w:pStyle w:val="Normal"/>
        <w:jc w:val="both"/>
        <w:rPr/>
      </w:pPr>
      <w:r>
        <w:rPr/>
      </w:r>
    </w:p>
    <w:p>
      <w:pPr>
        <w:pStyle w:val="Normal"/>
        <w:jc w:val="both"/>
        <w:rPr/>
      </w:pPr>
      <w:r>
        <w:rPr/>
        <w:tab/>
        <w:t>Notices to Governmental Entities of the State of Texas, including, without limitation, a P-5 Notice to the Texas Railroad Commission.</w:t>
      </w:r>
      <w:r>
        <w:br w:type="page"/>
      </w:r>
    </w:p>
    <w:p>
      <w:pPr>
        <w:pStyle w:val="Normal"/>
        <w:jc w:val="center"/>
        <w:rPr/>
      </w:pPr>
      <w:r>
        <w:rPr/>
        <w:t>PURCHASE AND SALE AGREEMENT</w:t>
      </w:r>
    </w:p>
    <w:p>
      <w:pPr>
        <w:pStyle w:val="Normal"/>
        <w:jc w:val="center"/>
        <w:rPr/>
      </w:pPr>
      <w:r>
        <w:rPr/>
      </w:r>
    </w:p>
    <w:p>
      <w:pPr>
        <w:pStyle w:val="Normal"/>
        <w:jc w:val="center"/>
        <w:rPr/>
      </w:pPr>
      <w:r>
        <w:rPr/>
        <w:t>Schedule 6.2</w:t>
      </w:r>
    </w:p>
    <w:p>
      <w:pPr>
        <w:pStyle w:val="Normal"/>
        <w:jc w:val="center"/>
        <w:rPr/>
      </w:pPr>
      <w:r>
        <w:rPr/>
        <w:t>Pre-Closing Restrictions</w:t>
      </w:r>
    </w:p>
    <w:p>
      <w:pPr>
        <w:pStyle w:val="Normal"/>
        <w:jc w:val="center"/>
        <w:rPr/>
      </w:pPr>
      <w:r>
        <w:rPr/>
      </w:r>
    </w:p>
    <w:p>
      <w:pPr>
        <w:pStyle w:val="Normal"/>
        <w:jc w:val="both"/>
        <w:rPr/>
      </w:pPr>
      <w:r>
        <w:rPr/>
      </w:r>
    </w:p>
    <w:p>
      <w:pPr>
        <w:pStyle w:val="Normal"/>
        <w:ind w:hanging="720" w:end="0"/>
        <w:jc w:val="both"/>
        <w:rPr/>
      </w:pPr>
      <w:r>
        <w:rPr/>
        <w:t>1.</w:t>
        <w:tab/>
        <w:t>The Acquired Companies will transfer Excluded Assets and Retained Liabilities to Seller or an Affiliate of Seller.  In addition, the Acquired Companies may dissolve certain of the entities included among the Excluded Assets as indicated on Schedule 7.8 and will unwind and pay any amounts due and owing in connection with, the “MidTexas”, “Project Looper” and “Project Rock” monetizations.</w:t>
      </w:r>
    </w:p>
    <w:p>
      <w:pPr>
        <w:pStyle w:val="Normal"/>
        <w:jc w:val="both"/>
        <w:rPr/>
      </w:pPr>
      <w:r>
        <w:rPr/>
      </w:r>
    </w:p>
    <w:p>
      <w:pPr>
        <w:pStyle w:val="Normal"/>
        <w:ind w:hanging="720" w:end="0"/>
        <w:jc w:val="both"/>
        <w:rPr/>
      </w:pPr>
      <w:r>
        <w:rPr/>
        <w:t>2.</w:t>
        <w:tab/>
        <w:t>The Lease dated November 10, 1999 between HPL as Lessee and HPL Asset Holdings L.P. as Lessor will be assigned to LeaseCo, and HPL and LeaseCo will enter into the Sublease in the form attached to this Agreement as Exhibit 3.2(d).</w:t>
      </w:r>
    </w:p>
    <w:p>
      <w:pPr>
        <w:pStyle w:val="Normal"/>
        <w:ind w:hanging="720" w:end="0"/>
        <w:jc w:val="both"/>
        <w:rPr/>
      </w:pPr>
      <w:r>
        <w:rPr/>
      </w:r>
    </w:p>
    <w:p>
      <w:pPr>
        <w:pStyle w:val="Normal"/>
        <w:ind w:hanging="720" w:end="0"/>
        <w:jc w:val="both"/>
        <w:rPr/>
      </w:pPr>
      <w:r>
        <w:rPr/>
        <w:t>3.</w:t>
        <w:tab/>
        <w:t>See descriptions of assignments, terminations and amendments of Material Contracts listed in Schedule 4.13.  Additional amendments to the “Bammel Gas Trust” monetization documents will be made prior to Closing in order to reflect: (i) the release of the working gas from the Bammel Gas Trust monetization, (ii) the modification of certain payment provisions, and provisions regarding persons to whom notice is required to be given, all in accordance with the Consent and Acknowledgment (Cushion Gas) and (iii) the substitution of Leaseco for HPL and HPLR as parties to such documents. Furthermore, amendments will be made to the “Project Looper” monetization documents to allow for the transfer of the Looper Assets from HPL Compression Company L.P. to LeaseCo.</w:t>
      </w:r>
    </w:p>
    <w:p>
      <w:pPr>
        <w:pStyle w:val="Normal"/>
        <w:jc w:val="both"/>
        <w:rPr/>
      </w:pPr>
      <w:r>
        <w:rPr/>
      </w:r>
      <w:r>
        <w:br w:type="page"/>
      </w:r>
    </w:p>
    <w:p>
      <w:pPr>
        <w:pStyle w:val="Normal"/>
        <w:jc w:val="center"/>
        <w:rPr/>
      </w:pPr>
      <w:r>
        <w:rPr/>
        <w:t xml:space="preserve"> </w:t>
      </w:r>
      <w:r>
        <w:rPr/>
        <w:t>PURCHASE AND SALE AGREEMENT</w:t>
      </w:r>
    </w:p>
    <w:p>
      <w:pPr>
        <w:pStyle w:val="Normal"/>
        <w:jc w:val="center"/>
        <w:rPr/>
      </w:pPr>
      <w:r>
        <w:rPr/>
      </w:r>
    </w:p>
    <w:p>
      <w:pPr>
        <w:pStyle w:val="Normal"/>
        <w:jc w:val="center"/>
        <w:rPr/>
      </w:pPr>
      <w:r>
        <w:rPr/>
        <w:t>Schedule 7.8(a)</w:t>
      </w:r>
    </w:p>
    <w:p>
      <w:pPr>
        <w:pStyle w:val="Normal"/>
        <w:jc w:val="center"/>
        <w:rPr/>
      </w:pPr>
      <w:r>
        <w:rPr/>
        <w:t>Excluded Assets</w:t>
      </w:r>
    </w:p>
    <w:p>
      <w:pPr>
        <w:pStyle w:val="Normal"/>
        <w:jc w:val="center"/>
        <w:rPr/>
      </w:pPr>
      <w:r>
        <w:rPr/>
      </w:r>
    </w:p>
    <w:p>
      <w:pPr>
        <w:pStyle w:val="Normal"/>
        <w:ind w:start="360" w:end="0"/>
        <w:jc w:val="both"/>
        <w:rPr/>
      </w:pPr>
      <w:r>
        <w:rPr/>
        <w:t>(i)</w:t>
        <w:tab/>
        <w:t>The following equity interests in the following entities:</w:t>
      </w:r>
    </w:p>
    <w:p>
      <w:pPr>
        <w:pStyle w:val="Normal"/>
        <w:jc w:val="both"/>
        <w:rPr/>
      </w:pPr>
      <w:r>
        <w:rPr/>
      </w:r>
    </w:p>
    <w:p>
      <w:pPr>
        <w:pStyle w:val="Normal"/>
        <w:numPr>
          <w:ilvl w:val="0"/>
          <w:numId w:val="10"/>
        </w:numPr>
        <w:jc w:val="both"/>
        <w:rPr/>
      </w:pPr>
      <w:r>
        <w:rPr>
          <w:u w:val="single"/>
        </w:rPr>
        <w:t>BAM Lease Company</w:t>
      </w:r>
      <w:r>
        <w:rPr/>
        <w:t xml:space="preserve"> (to be formed) </w:t>
      </w:r>
    </w:p>
    <w:p>
      <w:pPr>
        <w:pStyle w:val="Normal"/>
        <w:jc w:val="both"/>
        <w:rPr/>
      </w:pPr>
      <w:r>
        <w:rPr/>
      </w:r>
    </w:p>
    <w:p>
      <w:pPr>
        <w:pStyle w:val="Normal"/>
        <w:numPr>
          <w:ilvl w:val="0"/>
          <w:numId w:val="10"/>
        </w:numPr>
        <w:jc w:val="both"/>
        <w:rPr/>
      </w:pPr>
      <w:r>
        <w:rPr>
          <w:u w:val="single"/>
        </w:rPr>
        <w:t>Coal Properties Corporation</w:t>
      </w:r>
      <w:r>
        <w:rPr/>
        <w:t xml:space="preserve"> (100%) -- Common Stock (1,000 shares)</w:t>
      </w:r>
    </w:p>
    <w:p>
      <w:pPr>
        <w:pStyle w:val="Normal"/>
        <w:jc w:val="both"/>
        <w:rPr/>
      </w:pPr>
      <w:r>
        <w:rPr/>
      </w:r>
    </w:p>
    <w:p>
      <w:pPr>
        <w:pStyle w:val="Normal"/>
        <w:numPr>
          <w:ilvl w:val="0"/>
          <w:numId w:val="10"/>
        </w:numPr>
        <w:jc w:val="both"/>
        <w:rPr/>
      </w:pPr>
      <w:r>
        <w:rPr>
          <w:u w:val="single"/>
        </w:rPr>
        <w:t>Enron Engineering &amp; Construction Company</w:t>
      </w:r>
      <w:r>
        <w:rPr/>
        <w:t xml:space="preserve"> (100%) – Common Stock (1,000 Shares)</w:t>
      </w:r>
    </w:p>
    <w:p>
      <w:pPr>
        <w:pStyle w:val="Normal"/>
        <w:ind w:start="1440" w:end="0"/>
        <w:jc w:val="both"/>
        <w:rPr/>
      </w:pPr>
      <w:r>
        <w:rPr/>
        <w:t>[Subsidiaries (direct and indirect) :</w:t>
        <w:tab/>
        <w:t>Enron Advisory Services, Inc., Enron Consolidated Construction Company, National Energy Production Corporation,  Nepco Services International, Inc., Thai Nepco., Ltd., Operational Energy Corp., OEC Holding Ltd., Enron Gaza Operations Ltd., OEC Nigeria Limited, Pakistan Construction Servicess, Inc.]</w:t>
      </w:r>
    </w:p>
    <w:p>
      <w:pPr>
        <w:pStyle w:val="Normal"/>
        <w:jc w:val="both"/>
        <w:rPr/>
      </w:pPr>
      <w:r>
        <w:rPr/>
        <w:tab/>
      </w:r>
    </w:p>
    <w:p>
      <w:pPr>
        <w:pStyle w:val="Normal"/>
        <w:numPr>
          <w:ilvl w:val="0"/>
          <w:numId w:val="14"/>
        </w:numPr>
        <w:jc w:val="both"/>
        <w:rPr/>
      </w:pPr>
      <w:r>
        <w:rPr>
          <w:u w:val="single"/>
        </w:rPr>
        <w:t>Enron Industrial Natural Gas Company</w:t>
      </w:r>
      <w:r>
        <w:rPr/>
        <w:t xml:space="preserve"> (100%) – Common Stock (1,000 shares) </w:t>
      </w:r>
    </w:p>
    <w:p>
      <w:pPr>
        <w:pStyle w:val="Normal"/>
        <w:ind w:start="360" w:end="0"/>
        <w:jc w:val="both"/>
        <w:rPr/>
      </w:pPr>
      <w:r>
        <w:rPr/>
      </w:r>
    </w:p>
    <w:p>
      <w:pPr>
        <w:pStyle w:val="Normal"/>
        <w:numPr>
          <w:ilvl w:val="0"/>
          <w:numId w:val="14"/>
        </w:numPr>
        <w:jc w:val="both"/>
        <w:rPr/>
      </w:pPr>
      <w:r>
        <w:rPr>
          <w:u w:val="single"/>
        </w:rPr>
        <w:t>Enron Texoma Gas Company</w:t>
      </w:r>
      <w:r>
        <w:rPr/>
        <w:t xml:space="preserve"> (100%) – Common Stock (1,000 shares) (will dissolve or rename the Company)</w:t>
      </w:r>
    </w:p>
    <w:p>
      <w:pPr>
        <w:pStyle w:val="Normal"/>
        <w:jc w:val="both"/>
        <w:rPr/>
      </w:pPr>
      <w:r>
        <w:rPr/>
      </w:r>
    </w:p>
    <w:p>
      <w:pPr>
        <w:pStyle w:val="Normal"/>
        <w:numPr>
          <w:ilvl w:val="0"/>
          <w:numId w:val="14"/>
        </w:numPr>
        <w:jc w:val="both"/>
        <w:rPr/>
      </w:pPr>
      <w:r>
        <w:rPr>
          <w:u w:val="single"/>
        </w:rPr>
        <w:t>HPL Compression Company L.P.</w:t>
      </w:r>
      <w:r>
        <w:rPr/>
        <w:t xml:space="preserve"> (0.001%) – General Partner Interest(will dissolve or rename the Company)</w:t>
      </w:r>
    </w:p>
    <w:p>
      <w:pPr>
        <w:pStyle w:val="Normal"/>
        <w:jc w:val="both"/>
        <w:rPr/>
      </w:pPr>
      <w:r>
        <w:rPr/>
      </w:r>
    </w:p>
    <w:p>
      <w:pPr>
        <w:pStyle w:val="Normal"/>
        <w:numPr>
          <w:ilvl w:val="0"/>
          <w:numId w:val="14"/>
        </w:numPr>
        <w:jc w:val="both"/>
        <w:rPr/>
      </w:pPr>
      <w:r>
        <w:rPr>
          <w:u w:val="single"/>
        </w:rPr>
        <w:t>Hanover Measurement Services Company L.P.</w:t>
      </w:r>
      <w:r>
        <w:rPr/>
        <w:t xml:space="preserve"> (47.500%) – Limited Partner Interest</w:t>
      </w:r>
    </w:p>
    <w:p>
      <w:pPr>
        <w:pStyle w:val="Normal"/>
        <w:jc w:val="both"/>
        <w:rPr/>
      </w:pPr>
      <w:r>
        <w:rPr/>
      </w:r>
    </w:p>
    <w:p>
      <w:pPr>
        <w:pStyle w:val="Normal"/>
        <w:numPr>
          <w:ilvl w:val="0"/>
          <w:numId w:val="14"/>
        </w:numPr>
        <w:jc w:val="both"/>
        <w:rPr/>
      </w:pPr>
      <w:r>
        <w:rPr>
          <w:u w:val="single"/>
        </w:rPr>
        <w:t>Houston Pipe Line Marketing Company</w:t>
      </w:r>
      <w:r>
        <w:rPr/>
        <w:t xml:space="preserve"> (100%) – Common Stock (1,000 shares) (will dissolve or rename the Company)</w:t>
      </w:r>
    </w:p>
    <w:p>
      <w:pPr>
        <w:pStyle w:val="Normal"/>
        <w:jc w:val="both"/>
        <w:rPr/>
      </w:pPr>
      <w:r>
        <w:rPr/>
      </w:r>
    </w:p>
    <w:p>
      <w:pPr>
        <w:pStyle w:val="Normal"/>
        <w:numPr>
          <w:ilvl w:val="0"/>
          <w:numId w:val="14"/>
        </w:numPr>
        <w:jc w:val="both"/>
        <w:rPr/>
      </w:pPr>
      <w:r>
        <w:rPr>
          <w:u w:val="single"/>
        </w:rPr>
        <w:t>Intratex Gas Company</w:t>
      </w:r>
      <w:r>
        <w:rPr/>
        <w:t xml:space="preserve"> (100%) – Common Stock (1,000 shares)</w:t>
      </w:r>
    </w:p>
    <w:p>
      <w:pPr>
        <w:pStyle w:val="Normal"/>
        <w:jc w:val="both"/>
        <w:rPr/>
      </w:pPr>
      <w:r>
        <w:rPr/>
      </w:r>
    </w:p>
    <w:p>
      <w:pPr>
        <w:pStyle w:val="Normal"/>
        <w:numPr>
          <w:ilvl w:val="0"/>
          <w:numId w:val="14"/>
        </w:numPr>
        <w:jc w:val="both"/>
        <w:rPr/>
      </w:pPr>
      <w:r>
        <w:rPr>
          <w:u w:val="single"/>
        </w:rPr>
        <w:t>Kingfisher LLC</w:t>
      </w:r>
      <w:r>
        <w:rPr/>
        <w:t xml:space="preserve"> (100%) – Membership Interest</w:t>
      </w:r>
    </w:p>
    <w:p>
      <w:pPr>
        <w:pStyle w:val="Normal"/>
        <w:jc w:val="both"/>
        <w:rPr/>
      </w:pPr>
      <w:r>
        <w:rPr/>
      </w:r>
    </w:p>
    <w:p>
      <w:pPr>
        <w:pStyle w:val="Normal"/>
        <w:numPr>
          <w:ilvl w:val="0"/>
          <w:numId w:val="14"/>
        </w:numPr>
        <w:jc w:val="both"/>
        <w:rPr/>
      </w:pPr>
      <w:r>
        <w:rPr>
          <w:u w:val="single"/>
        </w:rPr>
        <w:t>Little Looper LLC</w:t>
      </w:r>
      <w:r>
        <w:rPr/>
        <w:t xml:space="preserve"> (100%) – Membership Interest [Note: May be dissolved prior to Closing Date].</w:t>
      </w:r>
    </w:p>
    <w:p>
      <w:pPr>
        <w:pStyle w:val="Normal"/>
        <w:jc w:val="both"/>
        <w:rPr/>
      </w:pPr>
      <w:r>
        <w:rPr/>
      </w:r>
    </w:p>
    <w:p>
      <w:pPr>
        <w:pStyle w:val="Normal"/>
        <w:numPr>
          <w:ilvl w:val="0"/>
          <w:numId w:val="14"/>
        </w:numPr>
        <w:jc w:val="both"/>
        <w:rPr/>
      </w:pPr>
      <w:r>
        <w:rPr>
          <w:u w:val="single"/>
        </w:rPr>
        <w:t>Little Piper LLC</w:t>
      </w:r>
      <w:r>
        <w:rPr/>
        <w:t xml:space="preserve"> (100%) – Membership Interest [Note:  Will be dissolved prior to Closing Date]</w:t>
      </w:r>
    </w:p>
    <w:p>
      <w:pPr>
        <w:pStyle w:val="Normal"/>
        <w:jc w:val="both"/>
        <w:rPr/>
      </w:pPr>
      <w:r>
        <w:rPr/>
      </w:r>
    </w:p>
    <w:p>
      <w:pPr>
        <w:pStyle w:val="Normal"/>
        <w:numPr>
          <w:ilvl w:val="0"/>
          <w:numId w:val="14"/>
        </w:numPr>
        <w:jc w:val="both"/>
        <w:rPr/>
      </w:pPr>
      <w:r>
        <w:rPr>
          <w:u w:val="single"/>
        </w:rPr>
        <w:t>Main Piper L.P.</w:t>
      </w:r>
      <w:r>
        <w:rPr/>
        <w:t xml:space="preserve"> (.001%) – General Partner Interest [Note:  Will be dissolved prior to Closing Date]</w:t>
      </w:r>
    </w:p>
    <w:p>
      <w:pPr>
        <w:pStyle w:val="Normal"/>
        <w:ind w:start="720" w:end="0"/>
        <w:jc w:val="both"/>
        <w:rPr/>
      </w:pPr>
      <w:r>
        <w:rPr/>
      </w:r>
    </w:p>
    <w:p>
      <w:pPr>
        <w:pStyle w:val="Normal"/>
        <w:numPr>
          <w:ilvl w:val="0"/>
          <w:numId w:val="14"/>
        </w:numPr>
        <w:jc w:val="both"/>
        <w:rPr/>
      </w:pPr>
      <w:r>
        <w:rPr>
          <w:u w:val="single"/>
        </w:rPr>
        <w:t>Matagorda Terminal Ltd.</w:t>
      </w:r>
      <w:r>
        <w:rPr/>
        <w:t xml:space="preserve"> (50%) – Limited Partner Interest</w:t>
      </w:r>
    </w:p>
    <w:p>
      <w:pPr>
        <w:pStyle w:val="Normal"/>
        <w:jc w:val="both"/>
        <w:rPr/>
      </w:pPr>
      <w:r>
        <w:rPr/>
      </w:r>
    </w:p>
    <w:p>
      <w:pPr>
        <w:pStyle w:val="Normal"/>
        <w:numPr>
          <w:ilvl w:val="0"/>
          <w:numId w:val="14"/>
        </w:numPr>
        <w:jc w:val="both"/>
        <w:rPr/>
      </w:pPr>
      <w:r>
        <w:rPr>
          <w:u w:val="single"/>
        </w:rPr>
        <w:t>Meter Acquisition Company, LP, LLP</w:t>
      </w:r>
      <w:r>
        <w:rPr/>
        <w:t xml:space="preserve"> (80%) – General and Limited Partner Interest [Note:  Will be dissolved prior to Closing Date instead of transferred to Seller or an affiliate of Seller]</w:t>
      </w:r>
    </w:p>
    <w:p>
      <w:pPr>
        <w:pStyle w:val="Normal"/>
        <w:jc w:val="both"/>
        <w:rPr/>
      </w:pPr>
      <w:r>
        <w:rPr/>
      </w:r>
    </w:p>
    <w:p>
      <w:pPr>
        <w:pStyle w:val="Normal"/>
        <w:numPr>
          <w:ilvl w:val="0"/>
          <w:numId w:val="14"/>
        </w:numPr>
        <w:jc w:val="both"/>
        <w:rPr/>
      </w:pPr>
      <w:r>
        <w:rPr>
          <w:u w:val="single"/>
        </w:rPr>
        <w:t>Middle Looper LLC</w:t>
      </w:r>
      <w:r>
        <w:rPr/>
        <w:t xml:space="preserve"> (100%) – Membership Interest [Note: May be dissolved prior to Closing Date.]</w:t>
      </w:r>
    </w:p>
    <w:p>
      <w:pPr>
        <w:pStyle w:val="Normal"/>
        <w:jc w:val="both"/>
        <w:rPr/>
      </w:pPr>
      <w:r>
        <w:rPr/>
      </w:r>
    </w:p>
    <w:p>
      <w:pPr>
        <w:pStyle w:val="Normal"/>
        <w:numPr>
          <w:ilvl w:val="0"/>
          <w:numId w:val="14"/>
        </w:numPr>
        <w:jc w:val="both"/>
        <w:rPr/>
      </w:pPr>
      <w:r>
        <w:rPr>
          <w:u w:val="single"/>
        </w:rPr>
        <w:t>Middle Piper LLC</w:t>
      </w:r>
      <w:r>
        <w:rPr/>
        <w:t xml:space="preserve"> (100%) – Membership Interest [Note:  Will be dissolved prior to Closing Date]</w:t>
      </w:r>
    </w:p>
    <w:p>
      <w:pPr>
        <w:pStyle w:val="Normal"/>
        <w:ind w:start="720" w:end="0"/>
        <w:jc w:val="both"/>
        <w:rPr/>
      </w:pPr>
      <w:r>
        <w:rPr/>
      </w:r>
    </w:p>
    <w:p>
      <w:pPr>
        <w:pStyle w:val="Normal"/>
        <w:numPr>
          <w:ilvl w:val="0"/>
          <w:numId w:val="14"/>
        </w:numPr>
        <w:jc w:val="both"/>
        <w:rPr/>
      </w:pPr>
      <w:r>
        <w:rPr>
          <w:u w:val="single"/>
        </w:rPr>
        <w:t>Oyster Lake Terminal Ltd</w:t>
      </w:r>
      <w:r>
        <w:rPr/>
        <w:t>. (50%) – Limited Partnership Interest</w:t>
      </w:r>
    </w:p>
    <w:p>
      <w:pPr>
        <w:pStyle w:val="Normal"/>
        <w:jc w:val="both"/>
        <w:rPr/>
      </w:pPr>
      <w:r>
        <w:rPr/>
      </w:r>
    </w:p>
    <w:p>
      <w:pPr>
        <w:pStyle w:val="Normal"/>
        <w:numPr>
          <w:ilvl w:val="0"/>
          <w:numId w:val="14"/>
        </w:numPr>
        <w:jc w:val="both"/>
        <w:rPr/>
      </w:pPr>
      <w:r>
        <w:rPr>
          <w:u w:val="single"/>
        </w:rPr>
        <w:t>Panhandle Gas Company</w:t>
      </w:r>
      <w:r>
        <w:rPr/>
        <w:t xml:space="preserve"> (100%) – Common Stock (1,000 shares)</w:t>
      </w:r>
    </w:p>
    <w:p>
      <w:pPr>
        <w:pStyle w:val="Normal"/>
        <w:ind w:start="720" w:end="0"/>
        <w:jc w:val="both"/>
        <w:rPr/>
      </w:pPr>
      <w:r>
        <w:rPr/>
      </w:r>
    </w:p>
    <w:p>
      <w:pPr>
        <w:pStyle w:val="Normal"/>
        <w:numPr>
          <w:ilvl w:val="0"/>
          <w:numId w:val="14"/>
        </w:numPr>
        <w:jc w:val="both"/>
        <w:rPr/>
      </w:pPr>
      <w:r>
        <w:rPr>
          <w:u w:val="single"/>
        </w:rPr>
        <w:t>Riverside Farms Company</w:t>
      </w:r>
      <w:r>
        <w:rPr/>
        <w:t xml:space="preserve"> (100%) – Common Stock (1,000 shares)</w:t>
      </w:r>
    </w:p>
    <w:p>
      <w:pPr>
        <w:pStyle w:val="Normal"/>
        <w:jc w:val="both"/>
        <w:rPr/>
      </w:pPr>
      <w:r>
        <w:rPr/>
      </w:r>
    </w:p>
    <w:p>
      <w:pPr>
        <w:pStyle w:val="Normal"/>
        <w:numPr>
          <w:ilvl w:val="0"/>
          <w:numId w:val="14"/>
        </w:numPr>
        <w:jc w:val="both"/>
        <w:rPr/>
      </w:pPr>
      <w:r>
        <w:rPr>
          <w:u w:val="single"/>
        </w:rPr>
        <w:t>San Marco Pipe Line Company</w:t>
      </w:r>
      <w:r>
        <w:rPr/>
        <w:t xml:space="preserve"> (50%) – Common Stock (1,000 shares)</w:t>
      </w:r>
    </w:p>
    <w:p>
      <w:pPr>
        <w:pStyle w:val="Normal"/>
        <w:jc w:val="both"/>
        <w:rPr/>
      </w:pPr>
      <w:r>
        <w:rPr/>
      </w:r>
    </w:p>
    <w:p>
      <w:pPr>
        <w:pStyle w:val="Normal"/>
        <w:numPr>
          <w:ilvl w:val="0"/>
          <w:numId w:val="14"/>
        </w:numPr>
        <w:jc w:val="both"/>
        <w:rPr/>
      </w:pPr>
      <w:r>
        <w:rPr>
          <w:u w:val="single"/>
        </w:rPr>
        <w:t>Transgulf Pipe Line Company</w:t>
      </w:r>
      <w:r>
        <w:rPr/>
        <w:t xml:space="preserve"> (100%) – Common Stock (1,000 shares)</w:t>
      </w:r>
    </w:p>
    <w:p>
      <w:pPr>
        <w:pStyle w:val="Normal"/>
        <w:jc w:val="center"/>
        <w:rPr/>
      </w:pPr>
      <w:r>
        <w:rPr/>
      </w:r>
    </w:p>
    <w:p>
      <w:pPr>
        <w:pStyle w:val="Normal"/>
        <w:ind w:start="360" w:end="0"/>
        <w:jc w:val="both"/>
        <w:rPr/>
      </w:pPr>
      <w:r>
        <w:rPr/>
        <w:t>(ii)</w:t>
        <w:tab/>
        <w:t xml:space="preserve">   Contracts and other assets:</w:t>
      </w:r>
    </w:p>
    <w:p>
      <w:pPr>
        <w:pStyle w:val="Normal"/>
        <w:jc w:val="both"/>
        <w:rPr/>
      </w:pPr>
      <w:r>
        <w:rPr/>
      </w:r>
    </w:p>
    <w:p>
      <w:pPr>
        <w:pStyle w:val="BodyTextIndent"/>
        <w:numPr>
          <w:ilvl w:val="1"/>
          <w:numId w:val="13"/>
        </w:numPr>
        <w:tabs>
          <w:tab w:val="clear" w:pos="720"/>
        </w:tabs>
        <w:ind w:hanging="360" w:start="1080" w:end="0"/>
        <w:rPr/>
      </w:pPr>
      <w:r>
        <w:rPr/>
        <w:t>Lease Agreement dated as of November 10, 1999 between HPL and HPL Asset Holdings LP (the “Prime Lease”).</w:t>
      </w:r>
    </w:p>
    <w:p>
      <w:pPr>
        <w:pStyle w:val="BodyTextIndent"/>
        <w:ind w:start="1080" w:end="0"/>
        <w:rPr/>
      </w:pPr>
      <w:r>
        <w:rPr/>
      </w:r>
    </w:p>
    <w:p>
      <w:pPr>
        <w:pStyle w:val="BodyTextIndent"/>
        <w:numPr>
          <w:ilvl w:val="1"/>
          <w:numId w:val="13"/>
        </w:numPr>
        <w:tabs>
          <w:tab w:val="clear" w:pos="720"/>
        </w:tabs>
        <w:ind w:hanging="360" w:start="1080" w:end="0"/>
        <w:rPr>
          <w:spacing w:val="-3"/>
        </w:rPr>
      </w:pPr>
      <w:r>
        <w:rPr/>
        <w:t>The contract rights and other intangible assets relating to the monetizations or other financings assets covered by the Sublease or the Right to Use Agreement.  See Schedule 4.13 for a description of certain contracts that will be assigned to Leaseco.</w:t>
      </w:r>
    </w:p>
    <w:p>
      <w:pPr>
        <w:pStyle w:val="Normal"/>
        <w:jc w:val="both"/>
        <w:rPr>
          <w:spacing w:val="-3"/>
        </w:rPr>
      </w:pPr>
      <w:r>
        <w:rPr>
          <w:spacing w:val="-3"/>
        </w:rPr>
      </w:r>
    </w:p>
    <w:p>
      <w:pPr>
        <w:pStyle w:val="Normal"/>
        <w:numPr>
          <w:ilvl w:val="0"/>
          <w:numId w:val="2"/>
        </w:numPr>
        <w:tabs>
          <w:tab w:val="clear" w:pos="720"/>
          <w:tab w:val="left" w:pos="1080" w:leader="none"/>
        </w:tabs>
        <w:ind w:hanging="360" w:start="1080" w:end="0"/>
        <w:jc w:val="both"/>
        <w:rPr/>
      </w:pPr>
      <w:r>
        <w:rPr/>
        <w:t>Gas Management Systems</w:t>
      </w:r>
    </w:p>
    <w:p>
      <w:pPr>
        <w:pStyle w:val="Normal"/>
        <w:jc w:val="both"/>
        <w:rPr/>
      </w:pPr>
      <w:r>
        <w:rPr/>
      </w:r>
    </w:p>
    <w:tbl>
      <w:tblPr>
        <w:tblW w:w="7740" w:type="dxa"/>
        <w:jc w:val="start"/>
        <w:tblInd w:w="1188" w:type="dxa"/>
        <w:tblLayout w:type="fixed"/>
        <w:tblCellMar>
          <w:top w:w="0" w:type="dxa"/>
          <w:start w:w="108" w:type="dxa"/>
          <w:bottom w:w="0" w:type="dxa"/>
          <w:end w:w="108" w:type="dxa"/>
        </w:tblCellMar>
      </w:tblPr>
      <w:tblGrid>
        <w:gridCol w:w="4410"/>
        <w:gridCol w:w="3330"/>
      </w:tblGrid>
      <w:tr>
        <w:trPr/>
        <w:tc>
          <w:tcPr>
            <w:tcW w:w="4410" w:type="dxa"/>
            <w:tcBorders/>
          </w:tcPr>
          <w:p>
            <w:pPr>
              <w:pStyle w:val="Normal"/>
              <w:jc w:val="both"/>
              <w:rPr>
                <w:b/>
                <w:bCs/>
                <w:u w:val="single"/>
              </w:rPr>
            </w:pPr>
            <w:r>
              <w:rPr>
                <w:b/>
                <w:bCs/>
                <w:u w:val="single"/>
              </w:rPr>
              <w:t>Application</w:t>
            </w:r>
          </w:p>
        </w:tc>
        <w:tc>
          <w:tcPr>
            <w:tcW w:w="3330" w:type="dxa"/>
            <w:tcBorders/>
          </w:tcPr>
          <w:p>
            <w:pPr>
              <w:pStyle w:val="Normal"/>
              <w:jc w:val="both"/>
              <w:rPr>
                <w:b/>
                <w:bCs/>
                <w:u w:val="single"/>
              </w:rPr>
            </w:pPr>
            <w:r>
              <w:rPr>
                <w:b/>
                <w:bCs/>
                <w:u w:val="single"/>
              </w:rPr>
              <w:t>Area Supported</w:t>
            </w:r>
          </w:p>
        </w:tc>
      </w:tr>
      <w:tr>
        <w:trPr/>
        <w:tc>
          <w:tcPr>
            <w:tcW w:w="4410" w:type="dxa"/>
            <w:tcBorders/>
          </w:tcPr>
          <w:p>
            <w:pPr>
              <w:pStyle w:val="Normal"/>
              <w:jc w:val="both"/>
              <w:rPr/>
            </w:pPr>
            <w:r>
              <w:rPr/>
              <w:t>Unify MOPS</w:t>
            </w:r>
          </w:p>
        </w:tc>
        <w:tc>
          <w:tcPr>
            <w:tcW w:w="3330" w:type="dxa"/>
            <w:tcBorders/>
          </w:tcPr>
          <w:p>
            <w:pPr>
              <w:pStyle w:val="Normal"/>
              <w:jc w:val="both"/>
              <w:rPr/>
            </w:pPr>
            <w:r>
              <w:rPr/>
              <w:t>Marketing Logistics</w:t>
            </w:r>
          </w:p>
        </w:tc>
      </w:tr>
      <w:tr>
        <w:trPr/>
        <w:tc>
          <w:tcPr>
            <w:tcW w:w="4410" w:type="dxa"/>
            <w:tcBorders/>
          </w:tcPr>
          <w:p>
            <w:pPr>
              <w:pStyle w:val="Normal"/>
              <w:jc w:val="both"/>
              <w:rPr/>
            </w:pPr>
            <w:r>
              <w:rPr/>
              <w:t>Unify POPS</w:t>
            </w:r>
          </w:p>
        </w:tc>
        <w:tc>
          <w:tcPr>
            <w:tcW w:w="3330" w:type="dxa"/>
            <w:tcBorders/>
          </w:tcPr>
          <w:p>
            <w:pPr>
              <w:pStyle w:val="Normal"/>
              <w:jc w:val="both"/>
              <w:rPr/>
            </w:pPr>
            <w:r>
              <w:rPr/>
              <w:t>Pipeline Logistics</w:t>
            </w:r>
          </w:p>
        </w:tc>
      </w:tr>
      <w:tr>
        <w:trPr/>
        <w:tc>
          <w:tcPr>
            <w:tcW w:w="4410" w:type="dxa"/>
            <w:tcBorders/>
          </w:tcPr>
          <w:p>
            <w:pPr>
              <w:pStyle w:val="Normal"/>
              <w:jc w:val="both"/>
              <w:rPr/>
            </w:pPr>
            <w:r>
              <w:rPr/>
              <w:t>Unify Volume Management</w:t>
            </w:r>
          </w:p>
        </w:tc>
        <w:tc>
          <w:tcPr>
            <w:tcW w:w="3330" w:type="dxa"/>
            <w:tcBorders/>
          </w:tcPr>
          <w:p>
            <w:pPr>
              <w:pStyle w:val="Normal"/>
              <w:jc w:val="both"/>
              <w:rPr/>
            </w:pPr>
            <w:r>
              <w:rPr/>
              <w:t>Volume Management</w:t>
            </w:r>
          </w:p>
        </w:tc>
      </w:tr>
      <w:tr>
        <w:trPr/>
        <w:tc>
          <w:tcPr>
            <w:tcW w:w="4410" w:type="dxa"/>
            <w:tcBorders/>
          </w:tcPr>
          <w:p>
            <w:pPr>
              <w:pStyle w:val="Normal"/>
              <w:jc w:val="both"/>
              <w:rPr/>
            </w:pPr>
            <w:r>
              <w:rPr/>
              <w:t>Unify Settlements</w:t>
            </w:r>
          </w:p>
        </w:tc>
        <w:tc>
          <w:tcPr>
            <w:tcW w:w="3330" w:type="dxa"/>
            <w:tcBorders/>
          </w:tcPr>
          <w:p>
            <w:pPr>
              <w:pStyle w:val="Normal"/>
              <w:jc w:val="both"/>
              <w:rPr/>
            </w:pPr>
            <w:r>
              <w:rPr/>
              <w:t>Gas Settlements</w:t>
            </w:r>
          </w:p>
        </w:tc>
      </w:tr>
      <w:tr>
        <w:trPr/>
        <w:tc>
          <w:tcPr>
            <w:tcW w:w="4410" w:type="dxa"/>
            <w:tcBorders/>
          </w:tcPr>
          <w:p>
            <w:pPr>
              <w:pStyle w:val="Normal"/>
              <w:jc w:val="both"/>
              <w:rPr/>
            </w:pPr>
            <w:r>
              <w:rPr/>
              <w:t>Unify Accounting</w:t>
            </w:r>
          </w:p>
        </w:tc>
        <w:tc>
          <w:tcPr>
            <w:tcW w:w="3330" w:type="dxa"/>
            <w:tcBorders/>
          </w:tcPr>
          <w:p>
            <w:pPr>
              <w:pStyle w:val="Normal"/>
              <w:jc w:val="both"/>
              <w:rPr/>
            </w:pPr>
            <w:r>
              <w:rPr/>
              <w:t>Gas Accounting</w:t>
            </w:r>
          </w:p>
        </w:tc>
      </w:tr>
      <w:tr>
        <w:trPr/>
        <w:tc>
          <w:tcPr>
            <w:tcW w:w="4410" w:type="dxa"/>
            <w:tcBorders/>
          </w:tcPr>
          <w:p>
            <w:pPr>
              <w:pStyle w:val="Normal"/>
              <w:jc w:val="both"/>
              <w:rPr/>
            </w:pPr>
            <w:r>
              <w:rPr/>
              <w:t>Global Contracts Database</w:t>
            </w:r>
          </w:p>
        </w:tc>
        <w:tc>
          <w:tcPr>
            <w:tcW w:w="3330" w:type="dxa"/>
            <w:tcBorders/>
          </w:tcPr>
          <w:p>
            <w:pPr>
              <w:pStyle w:val="Normal"/>
              <w:jc w:val="both"/>
              <w:rPr/>
            </w:pPr>
            <w:r>
              <w:rPr/>
              <w:t>Global Contracts</w:t>
            </w:r>
          </w:p>
        </w:tc>
      </w:tr>
      <w:tr>
        <w:trPr/>
        <w:tc>
          <w:tcPr>
            <w:tcW w:w="4410" w:type="dxa"/>
            <w:tcBorders/>
          </w:tcPr>
          <w:p>
            <w:pPr>
              <w:pStyle w:val="Normal"/>
              <w:jc w:val="both"/>
              <w:rPr/>
            </w:pPr>
            <w:r>
              <w:rPr/>
              <w:t>Global Facilities Database</w:t>
            </w:r>
          </w:p>
        </w:tc>
        <w:tc>
          <w:tcPr>
            <w:tcW w:w="3330" w:type="dxa"/>
            <w:tcBorders/>
          </w:tcPr>
          <w:p>
            <w:pPr>
              <w:pStyle w:val="Normal"/>
              <w:jc w:val="both"/>
              <w:rPr/>
            </w:pPr>
            <w:r>
              <w:rPr/>
              <w:t>Global Facilities</w:t>
            </w:r>
          </w:p>
        </w:tc>
      </w:tr>
      <w:tr>
        <w:trPr/>
        <w:tc>
          <w:tcPr>
            <w:tcW w:w="4410" w:type="dxa"/>
            <w:tcBorders/>
          </w:tcPr>
          <w:p>
            <w:pPr>
              <w:pStyle w:val="Normal"/>
              <w:jc w:val="both"/>
              <w:rPr/>
            </w:pPr>
            <w:r>
              <w:rPr/>
              <w:t>Global Counterparty Database</w:t>
            </w:r>
          </w:p>
        </w:tc>
        <w:tc>
          <w:tcPr>
            <w:tcW w:w="3330" w:type="dxa"/>
            <w:tcBorders/>
          </w:tcPr>
          <w:p>
            <w:pPr>
              <w:pStyle w:val="Normal"/>
              <w:jc w:val="both"/>
              <w:rPr/>
            </w:pPr>
            <w:r>
              <w:rPr/>
              <w:t>Global Counterparty</w:t>
            </w:r>
          </w:p>
        </w:tc>
      </w:tr>
      <w:tr>
        <w:trPr/>
        <w:tc>
          <w:tcPr>
            <w:tcW w:w="4410" w:type="dxa"/>
            <w:tcBorders/>
          </w:tcPr>
          <w:p>
            <w:pPr>
              <w:pStyle w:val="Normal"/>
              <w:jc w:val="both"/>
              <w:rPr/>
            </w:pPr>
            <w:r>
              <w:rPr/>
              <w:t>Global Common Codes Database</w:t>
            </w:r>
          </w:p>
        </w:tc>
        <w:tc>
          <w:tcPr>
            <w:tcW w:w="3330" w:type="dxa"/>
            <w:tcBorders/>
          </w:tcPr>
          <w:p>
            <w:pPr>
              <w:pStyle w:val="Normal"/>
              <w:jc w:val="both"/>
              <w:rPr/>
            </w:pPr>
            <w:r>
              <w:rPr/>
              <w:t>All</w:t>
            </w:r>
          </w:p>
        </w:tc>
      </w:tr>
    </w:tbl>
    <w:p>
      <w:pPr>
        <w:pStyle w:val="Normal"/>
        <w:jc w:val="both"/>
        <w:rPr/>
      </w:pPr>
      <w:r>
        <w:rPr/>
      </w:r>
    </w:p>
    <w:p>
      <w:pPr>
        <w:pStyle w:val="Normal"/>
        <w:numPr>
          <w:ilvl w:val="0"/>
          <w:numId w:val="2"/>
        </w:numPr>
        <w:tabs>
          <w:tab w:val="clear" w:pos="720"/>
          <w:tab w:val="left" w:pos="1080" w:leader="none"/>
        </w:tabs>
        <w:ind w:hanging="360" w:start="1080" w:end="0"/>
        <w:jc w:val="both"/>
        <w:rPr/>
      </w:pPr>
      <w:r>
        <w:rPr/>
        <w:t>Gas Trading Systems</w:t>
      </w:r>
    </w:p>
    <w:p>
      <w:pPr>
        <w:pStyle w:val="Normal"/>
        <w:spacing w:lineRule="exact" w:line="200"/>
        <w:jc w:val="both"/>
        <w:rPr/>
      </w:pPr>
      <w:r>
        <w:rPr/>
      </w:r>
    </w:p>
    <w:tbl>
      <w:tblPr>
        <w:tblW w:w="8388" w:type="dxa"/>
        <w:jc w:val="start"/>
        <w:tblInd w:w="1188" w:type="dxa"/>
        <w:tblLayout w:type="fixed"/>
        <w:tblCellMar>
          <w:top w:w="0" w:type="dxa"/>
          <w:start w:w="108" w:type="dxa"/>
          <w:bottom w:w="0" w:type="dxa"/>
          <w:end w:w="108" w:type="dxa"/>
        </w:tblCellMar>
      </w:tblPr>
      <w:tblGrid>
        <w:gridCol w:w="4410"/>
        <w:gridCol w:w="3978"/>
      </w:tblGrid>
      <w:tr>
        <w:trPr/>
        <w:tc>
          <w:tcPr>
            <w:tcW w:w="4410" w:type="dxa"/>
            <w:tcBorders/>
          </w:tcPr>
          <w:p>
            <w:pPr>
              <w:pStyle w:val="Normal"/>
              <w:jc w:val="both"/>
              <w:rPr>
                <w:b/>
                <w:bCs/>
              </w:rPr>
            </w:pPr>
            <w:r>
              <w:rPr>
                <w:b/>
                <w:bCs/>
                <w:u w:val="single"/>
              </w:rPr>
              <w:t>Application</w:t>
            </w:r>
          </w:p>
        </w:tc>
        <w:tc>
          <w:tcPr>
            <w:tcW w:w="3978" w:type="dxa"/>
            <w:tcBorders/>
          </w:tcPr>
          <w:p>
            <w:pPr>
              <w:pStyle w:val="Normal"/>
              <w:jc w:val="both"/>
              <w:rPr>
                <w:b/>
                <w:bCs/>
                <w:u w:val="single"/>
              </w:rPr>
            </w:pPr>
            <w:r>
              <w:rPr>
                <w:b/>
                <w:bCs/>
                <w:u w:val="single"/>
              </w:rPr>
              <w:t>Area Supported</w:t>
            </w:r>
          </w:p>
        </w:tc>
      </w:tr>
      <w:tr>
        <w:trPr/>
        <w:tc>
          <w:tcPr>
            <w:tcW w:w="4410" w:type="dxa"/>
            <w:tcBorders/>
          </w:tcPr>
          <w:p>
            <w:pPr>
              <w:pStyle w:val="Normal"/>
              <w:jc w:val="both"/>
              <w:rPr/>
            </w:pPr>
            <w:r>
              <w:rPr/>
              <w:t>Sitara Trade Blotter</w:t>
            </w:r>
          </w:p>
        </w:tc>
        <w:tc>
          <w:tcPr>
            <w:tcW w:w="3978" w:type="dxa"/>
            <w:tcBorders/>
          </w:tcPr>
          <w:p>
            <w:pPr>
              <w:pStyle w:val="Normal"/>
              <w:jc w:val="both"/>
              <w:rPr/>
            </w:pPr>
            <w:r>
              <w:rPr/>
              <w:t>Gas Trading</w:t>
            </w:r>
          </w:p>
        </w:tc>
      </w:tr>
      <w:tr>
        <w:trPr/>
        <w:tc>
          <w:tcPr>
            <w:tcW w:w="4410" w:type="dxa"/>
            <w:tcBorders/>
          </w:tcPr>
          <w:p>
            <w:pPr>
              <w:pStyle w:val="Normal"/>
              <w:jc w:val="both"/>
              <w:rPr/>
            </w:pPr>
            <w:r>
              <w:rPr/>
              <w:t>Sitara Deal Manager</w:t>
            </w:r>
          </w:p>
        </w:tc>
        <w:tc>
          <w:tcPr>
            <w:tcW w:w="3978" w:type="dxa"/>
            <w:tcBorders/>
          </w:tcPr>
          <w:p>
            <w:pPr>
              <w:pStyle w:val="Normal"/>
              <w:jc w:val="both"/>
              <w:rPr/>
            </w:pPr>
            <w:r>
              <w:rPr/>
              <w:t>Gas Trading</w:t>
            </w:r>
          </w:p>
        </w:tc>
      </w:tr>
      <w:tr>
        <w:trPr/>
        <w:tc>
          <w:tcPr>
            <w:tcW w:w="4410" w:type="dxa"/>
            <w:tcBorders/>
          </w:tcPr>
          <w:p>
            <w:pPr>
              <w:pStyle w:val="Normal"/>
              <w:jc w:val="both"/>
              <w:rPr/>
            </w:pPr>
            <w:r>
              <w:rPr/>
              <w:t>Sitara Physical Position Manager</w:t>
            </w:r>
          </w:p>
        </w:tc>
        <w:tc>
          <w:tcPr>
            <w:tcW w:w="3978" w:type="dxa"/>
            <w:tcBorders/>
          </w:tcPr>
          <w:p>
            <w:pPr>
              <w:pStyle w:val="Normal"/>
              <w:jc w:val="both"/>
              <w:rPr/>
            </w:pPr>
            <w:r>
              <w:rPr/>
              <w:t>Gas Trading</w:t>
            </w:r>
          </w:p>
        </w:tc>
      </w:tr>
      <w:tr>
        <w:trPr/>
        <w:tc>
          <w:tcPr>
            <w:tcW w:w="4410" w:type="dxa"/>
            <w:tcBorders/>
          </w:tcPr>
          <w:p>
            <w:pPr>
              <w:pStyle w:val="Normal"/>
              <w:jc w:val="both"/>
              <w:rPr/>
            </w:pPr>
            <w:r>
              <w:rPr/>
              <w:t>Sitara Deal Ticker</w:t>
            </w:r>
          </w:p>
        </w:tc>
        <w:tc>
          <w:tcPr>
            <w:tcW w:w="3978" w:type="dxa"/>
            <w:tcBorders/>
          </w:tcPr>
          <w:p>
            <w:pPr>
              <w:pStyle w:val="Normal"/>
              <w:jc w:val="both"/>
              <w:rPr/>
            </w:pPr>
            <w:r>
              <w:rPr/>
              <w:t>Gas Trading</w:t>
            </w:r>
          </w:p>
        </w:tc>
      </w:tr>
      <w:tr>
        <w:trPr/>
        <w:tc>
          <w:tcPr>
            <w:tcW w:w="4410" w:type="dxa"/>
            <w:tcBorders/>
          </w:tcPr>
          <w:p>
            <w:pPr>
              <w:pStyle w:val="Normal"/>
              <w:jc w:val="both"/>
              <w:rPr/>
            </w:pPr>
            <w:r>
              <w:rPr/>
              <w:t>Sitara Portfolio Manager</w:t>
            </w:r>
          </w:p>
        </w:tc>
        <w:tc>
          <w:tcPr>
            <w:tcW w:w="3978" w:type="dxa"/>
            <w:tcBorders/>
          </w:tcPr>
          <w:p>
            <w:pPr>
              <w:pStyle w:val="Normal"/>
              <w:jc w:val="both"/>
              <w:rPr/>
            </w:pPr>
            <w:r>
              <w:rPr/>
              <w:t>Gas Trading</w:t>
            </w:r>
          </w:p>
        </w:tc>
      </w:tr>
      <w:tr>
        <w:trPr/>
        <w:tc>
          <w:tcPr>
            <w:tcW w:w="4410" w:type="dxa"/>
            <w:tcBorders/>
          </w:tcPr>
          <w:p>
            <w:pPr>
              <w:pStyle w:val="Normal"/>
              <w:jc w:val="both"/>
              <w:rPr/>
            </w:pPr>
            <w:r>
              <w:rPr/>
              <w:t>ERMS Valuation (Gas)</w:t>
            </w:r>
          </w:p>
        </w:tc>
        <w:tc>
          <w:tcPr>
            <w:tcW w:w="3978" w:type="dxa"/>
            <w:tcBorders/>
          </w:tcPr>
          <w:p>
            <w:pPr>
              <w:pStyle w:val="Normal"/>
              <w:jc w:val="both"/>
              <w:rPr/>
            </w:pPr>
            <w:r>
              <w:rPr/>
              <w:t>Risk Management</w:t>
            </w:r>
          </w:p>
        </w:tc>
      </w:tr>
      <w:tr>
        <w:trPr/>
        <w:tc>
          <w:tcPr>
            <w:tcW w:w="4410" w:type="dxa"/>
            <w:tcBorders/>
          </w:tcPr>
          <w:p>
            <w:pPr>
              <w:pStyle w:val="Normal"/>
              <w:jc w:val="both"/>
              <w:rPr/>
            </w:pPr>
            <w:r>
              <w:rPr/>
              <w:t>ERMS Reporting (Gas)</w:t>
            </w:r>
          </w:p>
        </w:tc>
        <w:tc>
          <w:tcPr>
            <w:tcW w:w="3978" w:type="dxa"/>
            <w:tcBorders/>
          </w:tcPr>
          <w:p>
            <w:pPr>
              <w:pStyle w:val="Normal"/>
              <w:jc w:val="both"/>
              <w:rPr/>
            </w:pPr>
            <w:r>
              <w:rPr/>
              <w:t>Risk Management</w:t>
            </w:r>
          </w:p>
        </w:tc>
      </w:tr>
      <w:tr>
        <w:trPr/>
        <w:tc>
          <w:tcPr>
            <w:tcW w:w="4410" w:type="dxa"/>
            <w:tcBorders/>
          </w:tcPr>
          <w:p>
            <w:pPr>
              <w:pStyle w:val="Normal"/>
              <w:jc w:val="both"/>
              <w:rPr/>
            </w:pPr>
            <w:r>
              <w:rPr/>
              <w:t>Credit Aggregation System</w:t>
            </w:r>
          </w:p>
        </w:tc>
        <w:tc>
          <w:tcPr>
            <w:tcW w:w="3978" w:type="dxa"/>
            <w:tcBorders/>
          </w:tcPr>
          <w:p>
            <w:pPr>
              <w:pStyle w:val="Normal"/>
              <w:jc w:val="both"/>
              <w:rPr/>
            </w:pPr>
            <w:r>
              <w:rPr/>
              <w:t>Trading/Risk Management</w:t>
            </w:r>
          </w:p>
        </w:tc>
      </w:tr>
    </w:tbl>
    <w:p>
      <w:pPr>
        <w:pStyle w:val="Normal"/>
        <w:jc w:val="both"/>
        <w:rPr/>
      </w:pPr>
      <w:r>
        <w:rPr/>
      </w:r>
    </w:p>
    <w:p>
      <w:pPr>
        <w:pStyle w:val="Normal"/>
        <w:numPr>
          <w:ilvl w:val="0"/>
          <w:numId w:val="2"/>
        </w:numPr>
        <w:tabs>
          <w:tab w:val="clear" w:pos="720"/>
          <w:tab w:val="left" w:pos="1080" w:leader="none"/>
        </w:tabs>
        <w:ind w:hanging="360" w:start="1080" w:end="0"/>
        <w:jc w:val="both"/>
        <w:rPr/>
      </w:pPr>
      <w:r>
        <w:rPr/>
        <w:t>Real Property Management Database System  (right of way database)</w:t>
      </w:r>
    </w:p>
    <w:p>
      <w:pPr>
        <w:pStyle w:val="Normal"/>
        <w:numPr>
          <w:ilvl w:val="0"/>
          <w:numId w:val="2"/>
        </w:numPr>
        <w:tabs>
          <w:tab w:val="clear" w:pos="720"/>
          <w:tab w:val="left" w:pos="1080" w:leader="none"/>
        </w:tabs>
        <w:ind w:hanging="360" w:start="1080" w:end="0"/>
        <w:jc w:val="both"/>
        <w:rPr/>
      </w:pPr>
      <w:r>
        <w:rPr/>
        <w:t>other systems of wide application used by Seller and its Affiliates, e.g. Microsoft, etc.</w:t>
      </w:r>
    </w:p>
    <w:p>
      <w:pPr>
        <w:pStyle w:val="Normal"/>
        <w:numPr>
          <w:ilvl w:val="0"/>
          <w:numId w:val="2"/>
        </w:numPr>
        <w:tabs>
          <w:tab w:val="clear" w:pos="720"/>
          <w:tab w:val="left" w:pos="1080" w:leader="none"/>
        </w:tabs>
        <w:ind w:hanging="360" w:start="1080" w:end="0"/>
        <w:jc w:val="both"/>
        <w:rPr/>
      </w:pPr>
      <w:r>
        <w:rPr/>
        <w:t>CPR</w:t>
      </w:r>
    </w:p>
    <w:p>
      <w:pPr>
        <w:pStyle w:val="Normal"/>
        <w:numPr>
          <w:ilvl w:val="0"/>
          <w:numId w:val="2"/>
        </w:numPr>
        <w:tabs>
          <w:tab w:val="clear" w:pos="720"/>
          <w:tab w:val="left" w:pos="1080" w:leader="none"/>
        </w:tabs>
        <w:ind w:hanging="360" w:start="1080" w:end="0"/>
        <w:jc w:val="both"/>
        <w:rPr/>
      </w:pPr>
      <w:r>
        <w:rPr/>
        <w:t>Phoenix</w:t>
      </w:r>
    </w:p>
    <w:p>
      <w:pPr>
        <w:pStyle w:val="Normal"/>
        <w:numPr>
          <w:ilvl w:val="0"/>
          <w:numId w:val="2"/>
        </w:numPr>
        <w:tabs>
          <w:tab w:val="clear" w:pos="720"/>
          <w:tab w:val="left" w:pos="1080" w:leader="none"/>
        </w:tabs>
        <w:ind w:hanging="360" w:start="1080" w:end="0"/>
        <w:jc w:val="both"/>
        <w:rPr/>
      </w:pPr>
      <w:r>
        <w:rPr/>
        <w:t>PGAS system</w:t>
      </w:r>
    </w:p>
    <w:p>
      <w:pPr>
        <w:pStyle w:val="Normal"/>
        <w:numPr>
          <w:ilvl w:val="0"/>
          <w:numId w:val="2"/>
        </w:numPr>
        <w:tabs>
          <w:tab w:val="clear" w:pos="720"/>
          <w:tab w:val="left" w:pos="1080" w:leader="none"/>
        </w:tabs>
        <w:ind w:hanging="360" w:start="1080" w:end="0"/>
        <w:jc w:val="both"/>
        <w:rPr/>
      </w:pPr>
      <w:r>
        <w:rPr/>
        <w:t>MIPS System</w:t>
      </w:r>
    </w:p>
    <w:p>
      <w:pPr>
        <w:pStyle w:val="Normal"/>
        <w:numPr>
          <w:ilvl w:val="0"/>
          <w:numId w:val="2"/>
        </w:numPr>
        <w:tabs>
          <w:tab w:val="clear" w:pos="720"/>
          <w:tab w:val="left" w:pos="1080" w:leader="none"/>
        </w:tabs>
        <w:ind w:hanging="360" w:start="1080" w:end="0"/>
        <w:jc w:val="both"/>
        <w:rPr/>
      </w:pPr>
      <w:r>
        <w:rPr/>
        <w:t>DCAF</w:t>
      </w:r>
    </w:p>
    <w:p>
      <w:pPr>
        <w:pStyle w:val="Normal"/>
        <w:numPr>
          <w:ilvl w:val="0"/>
          <w:numId w:val="2"/>
        </w:numPr>
        <w:tabs>
          <w:tab w:val="clear" w:pos="720"/>
          <w:tab w:val="left" w:pos="1080" w:leader="none"/>
        </w:tabs>
        <w:ind w:hanging="360" w:start="1080" w:end="0"/>
        <w:jc w:val="both"/>
        <w:rPr/>
      </w:pPr>
      <w:r>
        <w:rPr/>
        <w:t>EDI Hub</w:t>
      </w:r>
    </w:p>
    <w:p>
      <w:pPr>
        <w:pStyle w:val="Normal"/>
        <w:numPr>
          <w:ilvl w:val="0"/>
          <w:numId w:val="2"/>
        </w:numPr>
        <w:tabs>
          <w:tab w:val="clear" w:pos="720"/>
          <w:tab w:val="left" w:pos="1080" w:leader="none"/>
        </w:tabs>
        <w:ind w:hanging="360" w:start="1080" w:end="0"/>
        <w:jc w:val="both"/>
        <w:rPr/>
      </w:pPr>
      <w:r>
        <w:rPr/>
        <w:t>IRIS</w:t>
      </w:r>
    </w:p>
    <w:p>
      <w:pPr>
        <w:pStyle w:val="Normal"/>
        <w:numPr>
          <w:ilvl w:val="0"/>
          <w:numId w:val="2"/>
        </w:numPr>
        <w:tabs>
          <w:tab w:val="clear" w:pos="720"/>
          <w:tab w:val="left" w:pos="1080" w:leader="none"/>
        </w:tabs>
        <w:ind w:hanging="360" w:start="1080" w:end="0"/>
        <w:jc w:val="both"/>
        <w:rPr/>
      </w:pPr>
      <w:r>
        <w:rPr/>
        <w:t>TARPS</w:t>
      </w:r>
    </w:p>
    <w:p>
      <w:pPr>
        <w:pStyle w:val="Normal"/>
        <w:numPr>
          <w:ilvl w:val="0"/>
          <w:numId w:val="2"/>
        </w:numPr>
        <w:tabs>
          <w:tab w:val="clear" w:pos="720"/>
          <w:tab w:val="left" w:pos="1080" w:leader="none"/>
        </w:tabs>
        <w:ind w:hanging="360" w:start="1080" w:end="0"/>
        <w:jc w:val="both"/>
        <w:rPr/>
      </w:pPr>
      <w:r>
        <w:rPr/>
        <w:t>Business Objects</w:t>
      </w:r>
    </w:p>
    <w:p>
      <w:pPr>
        <w:pStyle w:val="Normal"/>
        <w:jc w:val="both"/>
        <w:rPr/>
      </w:pPr>
      <w:r>
        <w:rPr/>
      </w:r>
    </w:p>
    <w:p>
      <w:pPr>
        <w:pStyle w:val="Normal"/>
        <w:jc w:val="both"/>
        <w:rPr/>
      </w:pPr>
      <w:r>
        <w:rPr/>
        <w:t>The following systems and information sources used by HPL’s reserve group but owned by Enron affiliates other than HPL.</w:t>
      </w:r>
    </w:p>
    <w:p>
      <w:pPr>
        <w:pStyle w:val="Normal"/>
        <w:jc w:val="both"/>
        <w:rPr/>
      </w:pPr>
      <w:r>
        <w:rPr/>
      </w:r>
    </w:p>
    <w:p>
      <w:pPr>
        <w:pStyle w:val="Normal"/>
        <w:jc w:val="both"/>
        <w:rPr>
          <w:b/>
          <w:bCs/>
        </w:rPr>
      </w:pPr>
      <w:r>
        <w:rPr>
          <w:b/>
          <w:bCs/>
        </w:rPr>
        <w:t>Software</w:t>
      </w:r>
    </w:p>
    <w:p>
      <w:pPr>
        <w:pStyle w:val="Normal"/>
        <w:jc w:val="both"/>
        <w:rPr/>
      </w:pPr>
      <w:r>
        <w:rPr/>
        <w:tab/>
        <w:t>Arcview/Arcinfo</w:t>
      </w:r>
    </w:p>
    <w:p>
      <w:pPr>
        <w:pStyle w:val="Normal"/>
        <w:jc w:val="both"/>
        <w:rPr/>
      </w:pPr>
      <w:r>
        <w:rPr/>
        <w:tab/>
        <w:t>Aries</w:t>
      </w:r>
    </w:p>
    <w:p>
      <w:pPr>
        <w:pStyle w:val="Normal"/>
        <w:jc w:val="both"/>
        <w:rPr/>
      </w:pPr>
      <w:r>
        <w:rPr/>
        <w:tab/>
        <w:t>Power Tools</w:t>
      </w:r>
    </w:p>
    <w:p>
      <w:pPr>
        <w:pStyle w:val="Normal"/>
        <w:jc w:val="both"/>
        <w:rPr/>
      </w:pPr>
      <w:r>
        <w:rPr/>
        <w:tab/>
        <w:t>Plan</w:t>
      </w:r>
    </w:p>
    <w:p>
      <w:pPr>
        <w:pStyle w:val="Normal"/>
        <w:jc w:val="both"/>
        <w:rPr/>
      </w:pPr>
      <w:r>
        <w:rPr/>
        <w:tab/>
        <w:t>GasRes</w:t>
      </w:r>
    </w:p>
    <w:p>
      <w:pPr>
        <w:pStyle w:val="Normal"/>
        <w:ind w:hanging="720" w:start="720" w:end="0"/>
        <w:jc w:val="both"/>
        <w:rPr/>
      </w:pPr>
      <w:r>
        <w:rPr/>
        <w:tab/>
        <w:t>Gregg Modeling Software (including, but not limited to all pipeline simulation models built and/or utilized with same)</w:t>
      </w:r>
    </w:p>
    <w:p>
      <w:pPr>
        <w:pStyle w:val="Normal"/>
        <w:jc w:val="both"/>
        <w:rPr/>
      </w:pPr>
      <w:r>
        <w:rPr/>
      </w:r>
    </w:p>
    <w:p>
      <w:pPr>
        <w:pStyle w:val="Normal"/>
        <w:jc w:val="both"/>
        <w:rPr>
          <w:b/>
          <w:bCs/>
        </w:rPr>
      </w:pPr>
      <w:r>
        <w:rPr>
          <w:b/>
          <w:bCs/>
        </w:rPr>
        <w:t>Data</w:t>
      </w:r>
    </w:p>
    <w:p>
      <w:pPr>
        <w:pStyle w:val="Normal"/>
        <w:jc w:val="both"/>
        <w:rPr/>
      </w:pPr>
      <w:r>
        <w:rPr/>
        <w:tab/>
        <w:t>Tobin</w:t>
      </w:r>
    </w:p>
    <w:p>
      <w:pPr>
        <w:pStyle w:val="Normal"/>
        <w:jc w:val="both"/>
        <w:rPr/>
      </w:pPr>
      <w:r>
        <w:rPr/>
        <w:tab/>
        <w:t>HIS</w:t>
      </w:r>
    </w:p>
    <w:p>
      <w:pPr>
        <w:pStyle w:val="Normal"/>
        <w:jc w:val="both"/>
        <w:rPr/>
      </w:pPr>
      <w:r>
        <w:rPr/>
        <w:tab/>
        <w:t>Mapsearch</w:t>
      </w:r>
    </w:p>
    <w:p>
      <w:pPr>
        <w:pStyle w:val="Normal"/>
        <w:jc w:val="both"/>
        <w:rPr/>
      </w:pPr>
      <w:r>
        <w:rPr/>
        <w:tab/>
        <w:t>LPG Almanac</w:t>
      </w:r>
    </w:p>
    <w:p>
      <w:pPr>
        <w:pStyle w:val="Normal"/>
        <w:jc w:val="both"/>
        <w:rPr/>
      </w:pPr>
      <w:r>
        <w:rPr/>
        <w:tab/>
        <w:t>Dewitt Maps</w:t>
      </w:r>
    </w:p>
    <w:p>
      <w:pPr>
        <w:pStyle w:val="Normal"/>
        <w:ind w:firstLine="720" w:end="0"/>
        <w:jc w:val="both"/>
        <w:rPr/>
      </w:pPr>
      <w:r>
        <w:rPr/>
        <w:t>Esri Street Map</w:t>
      </w:r>
    </w:p>
    <w:p>
      <w:pPr>
        <w:pStyle w:val="Normal"/>
        <w:jc w:val="both"/>
        <w:rPr/>
      </w:pPr>
      <w:r>
        <w:rPr/>
        <w:tab/>
        <w:t>SureMap Raster</w:t>
      </w:r>
    </w:p>
    <w:p>
      <w:pPr>
        <w:pStyle w:val="Normal"/>
        <w:jc w:val="both"/>
        <w:rPr/>
      </w:pPr>
      <w:r>
        <w:rPr/>
        <w:tab/>
        <w:t>Envision</w:t>
      </w:r>
    </w:p>
    <w:p>
      <w:pPr>
        <w:pStyle w:val="Normal"/>
        <w:jc w:val="both"/>
        <w:rPr/>
      </w:pPr>
      <w:r>
        <w:rPr/>
      </w:r>
    </w:p>
    <w:p>
      <w:pPr>
        <w:pStyle w:val="Normal"/>
        <w:jc w:val="both"/>
        <w:rPr/>
      </w:pPr>
      <w:r>
        <w:rPr/>
        <w:t xml:space="preserve">All accounts held by any government relating to statutes providing for escheatment and similar “lost owner statutes.”  </w:t>
      </w:r>
    </w:p>
    <w:p>
      <w:pPr>
        <w:pStyle w:val="Normal"/>
        <w:jc w:val="both"/>
        <w:rPr/>
      </w:pPr>
      <w:r>
        <w:rPr/>
      </w:r>
    </w:p>
    <w:p>
      <w:pPr>
        <w:pStyle w:val="Normal"/>
        <w:jc w:val="both"/>
        <w:rPr/>
      </w:pPr>
      <w:r>
        <w:rPr/>
        <w:t>Any payment by Diamond Shamrock Refining Company, L.P., its successors or assigns, relating to, or as a result of, the settlement of claims arising out of the Three Rivers Plant products, fractionation and purchase or delivery of fractionated liquids under that certain Product Sales and Fractionation Agreement dated effective April 1, 1995, the termination of which is anticipated pursuant to that certain Settlement Agreement dated effective September 20, 2000 currently under review by Diamond Shamrock.</w:t>
      </w:r>
    </w:p>
    <w:p>
      <w:pPr>
        <w:pStyle w:val="Normal"/>
        <w:jc w:val="both"/>
        <w:rPr/>
      </w:pPr>
      <w:r>
        <w:rPr/>
      </w:r>
    </w:p>
    <w:p>
      <w:pPr>
        <w:pStyle w:val="Normal"/>
        <w:ind w:start="360" w:end="0"/>
        <w:jc w:val="both"/>
        <w:rPr/>
      </w:pPr>
      <w:r>
        <w:rPr/>
        <w:t>(iii)  Insurance proceeds attributable to Victoria Flood &amp; Point Comfort Leak Claims, the repair of which damages has already occurred.</w:t>
      </w:r>
    </w:p>
    <w:p>
      <w:pPr>
        <w:pStyle w:val="Normal"/>
        <w:jc w:val="both"/>
        <w:rPr/>
      </w:pPr>
      <w:r>
        <w:rPr/>
      </w:r>
    </w:p>
    <w:p>
      <w:pPr>
        <w:pStyle w:val="Normal"/>
        <w:ind w:start="360" w:end="0"/>
        <w:jc w:val="both"/>
        <w:rPr/>
      </w:pPr>
      <w:r>
        <w:rPr/>
        <w:t>(iv)</w:t>
        <w:tab/>
        <w:t xml:space="preserve">  None</w:t>
      </w:r>
    </w:p>
    <w:p>
      <w:pPr>
        <w:pStyle w:val="Normal"/>
        <w:jc w:val="both"/>
        <w:rPr/>
      </w:pPr>
      <w:r>
        <w:rPr/>
      </w:r>
    </w:p>
    <w:p>
      <w:pPr>
        <w:pStyle w:val="Normal"/>
        <w:ind w:start="360" w:end="0"/>
        <w:jc w:val="both"/>
        <w:rPr/>
      </w:pPr>
      <w:r>
        <w:rPr/>
        <w:t>(viii)   The following sites:</w:t>
      </w:r>
    </w:p>
    <w:p>
      <w:pPr>
        <w:pStyle w:val="BodyTextIndent"/>
        <w:ind w:start="0" w:end="0"/>
        <w:rPr/>
      </w:pPr>
      <w:r>
        <w:rPr/>
      </w:r>
    </w:p>
    <w:p>
      <w:pPr>
        <w:pStyle w:val="Normal"/>
        <w:numPr>
          <w:ilvl w:val="2"/>
          <w:numId w:val="13"/>
        </w:numPr>
        <w:tabs>
          <w:tab w:val="clear" w:pos="720"/>
          <w:tab w:val="left" w:pos="-720" w:leader="none"/>
          <w:tab w:val="left" w:pos="1080" w:leader="none"/>
        </w:tabs>
        <w:suppressAutoHyphens w:val="true"/>
        <w:ind w:hanging="360" w:start="108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Tuleta Gas Plant</w:t>
      </w:r>
      <w:r>
        <w:rPr>
          <w:rFonts w:cs="CG Times (WN)" w:ascii="CG Times (WN)" w:hAnsi="CG Times (WN)"/>
          <w:spacing w:val="-3"/>
        </w:rPr>
        <w:tab/>
      </w:r>
    </w:p>
    <w:p>
      <w:pPr>
        <w:pStyle w:val="Normal"/>
        <w:tabs>
          <w:tab w:val="clear" w:pos="720"/>
          <w:tab w:val="left" w:pos="-720" w:leader="none"/>
          <w:tab w:val="left" w:pos="0" w:leader="none"/>
        </w:tabs>
        <w:suppressAutoHyphens w:val="true"/>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8"/>
        </w:numPr>
        <w:tabs>
          <w:tab w:val="clear" w:pos="720"/>
          <w:tab w:val="left" w:pos="-720" w:leader="none"/>
          <w:tab w:val="left" w:pos="0" w:leader="none"/>
          <w:tab w:val="left" w:pos="1080" w:leader="none"/>
        </w:tabs>
        <w:suppressAutoHyphens w:val="true"/>
        <w:ind w:hanging="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Magnolia City Gas Plant</w:t>
      </w:r>
    </w:p>
    <w:p>
      <w:pPr>
        <w:pStyle w:val="Normal"/>
        <w:tabs>
          <w:tab w:val="clear" w:pos="720"/>
          <w:tab w:val="left" w:pos="-720" w:leader="none"/>
          <w:tab w:val="left" w:pos="0" w:leader="none"/>
        </w:tabs>
        <w:suppressAutoHyphens w:val="true"/>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8"/>
        </w:numPr>
        <w:tabs>
          <w:tab w:val="clear" w:pos="720"/>
          <w:tab w:val="left" w:pos="-720" w:leader="none"/>
          <w:tab w:val="left" w:pos="0" w:leader="none"/>
          <w:tab w:val="left" w:pos="1080" w:leader="none"/>
        </w:tabs>
        <w:suppressAutoHyphens w:val="true"/>
        <w:ind w:hanging="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Robstown Gas Plant</w:t>
      </w:r>
    </w:p>
    <w:p>
      <w:pPr>
        <w:pStyle w:val="Normal"/>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Normal"/>
        <w:numPr>
          <w:ilvl w:val="0"/>
          <w:numId w:val="18"/>
        </w:numPr>
        <w:tabs>
          <w:tab w:val="clear" w:pos="720"/>
          <w:tab w:val="left" w:pos="-720" w:leader="none"/>
          <w:tab w:val="left" w:pos="0" w:leader="none"/>
          <w:tab w:val="left" w:pos="1080" w:leader="none"/>
        </w:tabs>
        <w:suppressAutoHyphens w:val="true"/>
        <w:ind w:hanging="0" w:start="720" w:end="0"/>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t>Victoria Plant</w:t>
      </w:r>
    </w:p>
    <w:p>
      <w:pPr>
        <w:pStyle w:val="Normal"/>
        <w:jc w:val="both"/>
        <w:rPr>
          <w:rFonts w:ascii="CG Times 12pt;Times New Roman" w:hAnsi="CG Times 12pt;Times New Roman" w:cs="CG Times 12pt;Times New Roman"/>
          <w:spacing w:val="-3"/>
        </w:rPr>
      </w:pPr>
      <w:r>
        <w:rPr>
          <w:rFonts w:cs="CG Times 12pt;Times New Roman" w:ascii="CG Times 12pt;Times New Roman" w:hAnsi="CG Times 12pt;Times New Roman"/>
          <w:spacing w:val="-3"/>
        </w:rPr>
      </w:r>
    </w:p>
    <w:p>
      <w:pPr>
        <w:pStyle w:val="EndnoteText"/>
        <w:numPr>
          <w:ilvl w:val="0"/>
          <w:numId w:val="18"/>
        </w:numPr>
        <w:tabs>
          <w:tab w:val="clear" w:pos="720"/>
          <w:tab w:val="left" w:pos="1080" w:leader="none"/>
        </w:tabs>
        <w:ind w:hanging="0" w:start="720" w:end="0"/>
        <w:rPr>
          <w:rFonts w:ascii="Times New Roman" w:hAnsi="Times New Roman" w:cs="Times New Roman"/>
        </w:rPr>
      </w:pPr>
      <w:r>
        <w:rPr>
          <w:rFonts w:cs="Times New Roman" w:ascii="Times New Roman" w:hAnsi="Times New Roman"/>
        </w:rPr>
        <w:t>Daggs #2 Dehydrator Site</w:t>
      </w:r>
    </w:p>
    <w:p>
      <w:pPr>
        <w:pStyle w:val="Normal"/>
        <w:rPr>
          <w:rFonts w:ascii="Times New Roman" w:hAnsi="Times New Roman" w:cs="Times New Roman"/>
        </w:rPr>
      </w:pPr>
      <w:r>
        <w:rPr>
          <w:rFonts w:cs="Times New Roman"/>
        </w:rPr>
      </w:r>
    </w:p>
    <w:p>
      <w:pPr>
        <w:pStyle w:val="Normal"/>
        <w:numPr>
          <w:ilvl w:val="0"/>
          <w:numId w:val="18"/>
        </w:numPr>
        <w:tabs>
          <w:tab w:val="clear" w:pos="720"/>
          <w:tab w:val="left" w:pos="-720" w:leader="none"/>
          <w:tab w:val="left" w:pos="0" w:leader="none"/>
          <w:tab w:val="left" w:pos="1080" w:leader="none"/>
        </w:tabs>
        <w:suppressAutoHyphens w:val="true"/>
        <w:ind w:hanging="0" w:start="720" w:end="0"/>
        <w:jc w:val="both"/>
        <w:rPr/>
      </w:pPr>
      <w:r>
        <w:rPr/>
        <w:t>Smith Production (formerly Amoco) Dehydrator Site</w:t>
      </w:r>
    </w:p>
    <w:p>
      <w:pPr>
        <w:pStyle w:val="Normal"/>
        <w:rPr/>
      </w:pPr>
      <w:r>
        <w:rPr/>
      </w:r>
    </w:p>
    <w:p>
      <w:pPr>
        <w:pStyle w:val="Normal"/>
        <w:numPr>
          <w:ilvl w:val="0"/>
          <w:numId w:val="18"/>
        </w:numPr>
        <w:tabs>
          <w:tab w:val="clear" w:pos="720"/>
          <w:tab w:val="left" w:pos="1080" w:leader="none"/>
        </w:tabs>
        <w:ind w:hanging="0" w:start="720" w:end="0"/>
        <w:jc w:val="both"/>
        <w:rPr/>
      </w:pPr>
      <w:r>
        <w:rPr/>
        <w:t>Conoco “Headquarters Field” Dehydrator Site</w:t>
      </w:r>
    </w:p>
    <w:p>
      <w:pPr>
        <w:pStyle w:val="Normal"/>
        <w:jc w:val="both"/>
        <w:rPr/>
      </w:pPr>
      <w:r>
        <w:rPr/>
      </w:r>
      <w:r>
        <w:br w:type="page"/>
      </w:r>
    </w:p>
    <w:p>
      <w:pPr>
        <w:pStyle w:val="Normal"/>
        <w:jc w:val="center"/>
        <w:rPr/>
      </w:pPr>
      <w:r>
        <w:rPr/>
        <w:t>PURCHASE AND SALE AGREEMENT</w:t>
      </w:r>
    </w:p>
    <w:p>
      <w:pPr>
        <w:pStyle w:val="Normal"/>
        <w:jc w:val="center"/>
        <w:rPr/>
      </w:pPr>
      <w:r>
        <w:rPr/>
      </w:r>
    </w:p>
    <w:p>
      <w:pPr>
        <w:pStyle w:val="Normal"/>
        <w:jc w:val="center"/>
        <w:rPr/>
      </w:pPr>
      <w:r>
        <w:rPr/>
        <w:t>Schedule 7.8(b)</w:t>
      </w:r>
    </w:p>
    <w:p>
      <w:pPr>
        <w:pStyle w:val="Normal"/>
        <w:jc w:val="center"/>
        <w:rPr/>
      </w:pPr>
      <w:r>
        <w:rPr/>
        <w:t>Retained Liabilities</w:t>
      </w:r>
    </w:p>
    <w:p>
      <w:pPr>
        <w:pStyle w:val="Normal"/>
        <w:jc w:val="center"/>
        <w:rPr/>
      </w:pPr>
      <w:r>
        <w:rPr/>
      </w:r>
    </w:p>
    <w:p>
      <w:pPr>
        <w:pStyle w:val="Normal"/>
        <w:rPr/>
      </w:pPr>
      <w:r>
        <w:rPr/>
        <w:tab/>
        <w:t>All the litigation matters listed on Schedule 4.11(A)</w:t>
      </w:r>
    </w:p>
    <w:p>
      <w:pPr>
        <w:pStyle w:val="Normal"/>
        <w:rPr/>
      </w:pPr>
      <w:r>
        <w:rPr/>
      </w:r>
    </w:p>
    <w:p>
      <w:pPr>
        <w:pStyle w:val="Normal"/>
        <w:ind w:start="720" w:end="0"/>
        <w:rPr/>
      </w:pPr>
      <w:r>
        <w:rPr/>
        <w:t>Liens on accounts receivables and certain related assets of HPL and HPL Resources Company related to accounts receivable financings and liabilities related to such financings</w:t>
      </w:r>
    </w:p>
    <w:p>
      <w:pPr>
        <w:pStyle w:val="Normal"/>
        <w:rPr/>
      </w:pPr>
      <w:r>
        <w:rPr/>
      </w:r>
    </w:p>
    <w:p>
      <w:pPr>
        <w:pStyle w:val="Normal"/>
        <w:rPr/>
      </w:pPr>
      <w:r>
        <w:rPr/>
      </w:r>
    </w:p>
    <w:p>
      <w:pPr>
        <w:pStyle w:val="Normal"/>
        <w:rPr/>
      </w:pPr>
      <w:r>
        <w:rPr/>
        <w:tab/>
      </w:r>
      <w:r>
        <w:br w:type="page"/>
      </w:r>
    </w:p>
    <w:p>
      <w:pPr>
        <w:pStyle w:val="Normal"/>
        <w:jc w:val="center"/>
        <w:rPr/>
      </w:pPr>
      <w:r>
        <w:rPr/>
        <w:t>PURCHASE AND SALE AGREEMENT</w:t>
      </w:r>
    </w:p>
    <w:p>
      <w:pPr>
        <w:pStyle w:val="Normal"/>
        <w:jc w:val="center"/>
        <w:rPr/>
      </w:pPr>
      <w:r>
        <w:rPr/>
      </w:r>
    </w:p>
    <w:p>
      <w:pPr>
        <w:pStyle w:val="Normal"/>
        <w:ind w:hanging="720" w:end="0"/>
        <w:jc w:val="center"/>
        <w:rPr/>
      </w:pPr>
      <w:r>
        <w:rPr/>
        <w:t>Schedule 7.13(a)</w:t>
      </w:r>
    </w:p>
    <w:p>
      <w:pPr>
        <w:pStyle w:val="Normal"/>
        <w:ind w:hanging="720" w:end="0"/>
        <w:jc w:val="center"/>
        <w:rPr/>
      </w:pPr>
      <w:r>
        <w:rPr/>
      </w:r>
    </w:p>
    <w:p>
      <w:pPr>
        <w:pStyle w:val="Normal"/>
        <w:jc w:val="both"/>
        <w:rPr/>
      </w:pPr>
      <w:r>
        <w:rPr/>
      </w:r>
    </w:p>
    <w:p>
      <w:pPr>
        <w:pStyle w:val="Normal"/>
        <w:jc w:val="center"/>
        <w:rPr>
          <w:b/>
          <w:bCs/>
          <w:u w:val="single"/>
        </w:rPr>
      </w:pPr>
      <w:r>
        <w:rPr>
          <w:b/>
          <w:bCs/>
          <w:u w:val="single"/>
        </w:rPr>
        <w:t>PROTOCOL FOR BUYER REPRESENTATIVES</w:t>
      </w:r>
    </w:p>
    <w:p>
      <w:pPr>
        <w:pStyle w:val="Normal"/>
        <w:jc w:val="both"/>
        <w:rPr>
          <w:b/>
          <w:bCs/>
          <w:u w:val="single"/>
        </w:rPr>
      </w:pPr>
      <w:r>
        <w:rPr>
          <w:b/>
          <w:bCs/>
          <w:u w:val="single"/>
        </w:rPr>
      </w:r>
    </w:p>
    <w:p>
      <w:pPr>
        <w:pStyle w:val="Normal"/>
        <w:jc w:val="both"/>
        <w:rPr/>
      </w:pPr>
      <w:r>
        <w:rPr/>
        <w:tab/>
        <w:tab/>
        <w:t xml:space="preserve">The following are the protocols referenced in Section 7.13 of the Purchase and Sale Agreement, which govern the activities of Buyer’s representatives which are provided access to Seller’s properties, sites, personnel and/or records during the Observation Periods referenced in said Section 7.13. </w:t>
      </w:r>
    </w:p>
    <w:p>
      <w:pPr>
        <w:pStyle w:val="Normal"/>
        <w:jc w:val="both"/>
        <w:rPr/>
      </w:pPr>
      <w:r>
        <w:rPr/>
      </w:r>
    </w:p>
    <w:p>
      <w:pPr>
        <w:pStyle w:val="Normal"/>
        <w:jc w:val="both"/>
        <w:rPr/>
      </w:pPr>
      <w:r>
        <w:rPr/>
        <w:tab/>
        <w:t>1)</w:t>
        <w:tab/>
        <w:t>During the Observation Periods, there shall be not more than five (5) representatives of Buyer at Seller’s offices at the Enron Building, 1400 Smith St., Houston, Texas (“Site Representatives”) and not more than five (5) representatives (in the aggregate) of Buyer at any of the other properties or sites of the Acquired Companies (the “Field Representatives”, which along with the Site Representatives are collectively referred to as the “Buyer Representatives”).  For purposes of these protocols, the above-referenced Houston, Texas office building and all other properties and sites of the Acquired Companies shall be referred to collectively as the “Premises”.</w:t>
      </w:r>
    </w:p>
    <w:p>
      <w:pPr>
        <w:pStyle w:val="Normal"/>
        <w:jc w:val="both"/>
        <w:rPr/>
      </w:pPr>
      <w:r>
        <w:rPr/>
      </w:r>
    </w:p>
    <w:p>
      <w:pPr>
        <w:pStyle w:val="Normal"/>
        <w:jc w:val="both"/>
        <w:rPr/>
      </w:pPr>
      <w:r>
        <w:rPr/>
        <w:tab/>
        <w:t>2)</w:t>
        <w:tab/>
        <w:t>At least 3 days prior to the commencement of an Observation Period and then prior to 2:00 p.m. (Houston, Texas time) on each Thursday during an Observation Period, Buyer will inform Seller (in writing) of (i) the identity and number of Buyer Representatives to be present on each of the Premises over the next succeeding five (5) Business Days (ii) the employees of Seller or the Acquired Companies to which access is being requested, (iii) the activities which the Buyer Representatives desire to observe and (iv) the records which the Buyer Representative desires to access and review during such five day period.</w:t>
      </w:r>
    </w:p>
    <w:p>
      <w:pPr>
        <w:pStyle w:val="Normal"/>
        <w:jc w:val="both"/>
        <w:rPr/>
      </w:pPr>
      <w:r>
        <w:rPr/>
      </w:r>
    </w:p>
    <w:p>
      <w:pPr>
        <w:pStyle w:val="Normal"/>
        <w:jc w:val="both"/>
        <w:rPr/>
      </w:pPr>
      <w:r>
        <w:rPr/>
        <w:tab/>
        <w:t>3)</w:t>
        <w:tab/>
        <w:t>The scheduling requests and the activities of the Buyer Representatives will be conducted with due respect to the operation of the Acquired Companies’ business and in such manner as to not interfere with or disrupt the ongoing business activities of Seller and the Acquired Companies.  Buyer and the Buyer Representatives will use all reasonable efforts to accommodate the meetings and activities timetable prepared by Seller in response to Buyer’s request for access to Premises, personnel and records.</w:t>
      </w:r>
    </w:p>
    <w:p>
      <w:pPr>
        <w:pStyle w:val="Normal"/>
        <w:jc w:val="both"/>
        <w:rPr/>
      </w:pPr>
      <w:r>
        <w:rPr/>
      </w:r>
    </w:p>
    <w:p>
      <w:pPr>
        <w:pStyle w:val="Normal"/>
        <w:jc w:val="both"/>
        <w:rPr/>
      </w:pPr>
      <w:r>
        <w:rPr/>
        <w:tab/>
        <w:t>4)</w:t>
        <w:tab/>
        <w:t>The activities of the Buyer Representatives will be conducted in compliance with all applicable Laws, regulations and legal requirements applicable to the Acquired Companies, its Affiliates and employees, agents and representatives and the Buyer Representative, including health and safety laws.</w:t>
      </w:r>
    </w:p>
    <w:p>
      <w:pPr>
        <w:pStyle w:val="Normal"/>
        <w:jc w:val="both"/>
        <w:rPr/>
      </w:pPr>
      <w:r>
        <w:rPr/>
      </w:r>
    </w:p>
    <w:p>
      <w:pPr>
        <w:pStyle w:val="Normal"/>
        <w:jc w:val="both"/>
        <w:rPr/>
      </w:pPr>
      <w:r>
        <w:rPr/>
        <w:tab/>
        <w:t>5)</w:t>
        <w:tab/>
        <w:t>The activities of the Buyer Representatives will be conducted in accordance with and in compliance with such directives, guidelines, policies and procedures, which are disclosed by Seller to the Buyer Representatives prior to or during an Observation Period, including applicable security and ingress/egress procedures.</w:t>
      </w:r>
    </w:p>
    <w:p>
      <w:pPr>
        <w:pStyle w:val="Normal"/>
        <w:jc w:val="both"/>
        <w:rPr/>
      </w:pPr>
      <w:r>
        <w:rPr/>
      </w:r>
    </w:p>
    <w:p>
      <w:pPr>
        <w:pStyle w:val="Normal"/>
        <w:jc w:val="both"/>
        <w:rPr/>
      </w:pPr>
      <w:r>
        <w:rPr/>
        <w:tab/>
        <w:t>6)</w:t>
        <w:tab/>
        <w:t>Buyer Representatives will only be allowed access to the Premises during regular operating hours of the Acquired Companies.  The Buyer Representatives will not be allowed to entertain or receive guests or invitees at the Premises unless such persons have received the prior approval of the Seller to enter onto the Premises.</w:t>
      </w:r>
    </w:p>
    <w:p>
      <w:pPr>
        <w:pStyle w:val="Normal"/>
        <w:jc w:val="both"/>
        <w:rPr/>
      </w:pPr>
      <w:r>
        <w:rPr/>
      </w:r>
    </w:p>
    <w:p>
      <w:pPr>
        <w:pStyle w:val="Normal"/>
        <w:ind w:firstLine="720" w:end="0"/>
        <w:jc w:val="both"/>
        <w:rPr/>
      </w:pPr>
      <w:r>
        <w:rPr/>
        <w:t>7)</w:t>
        <w:tab/>
        <w:t>Access throughout the Premises will be provided  on “as-needed” basis provided Buyer Representatives will not be allowed to roam unaccompanied throughout the Premises.  While on the Premises, Buyer Representatives must be accompanied by an employee of the Seller or one of the Acquired Companies.  Furthermore, Buyer Representatives will not enter into or attempt to gain access to any areas which are designated as “restricted or unauthorized areas” by the Seller.</w:t>
      </w:r>
    </w:p>
    <w:p>
      <w:pPr>
        <w:pStyle w:val="Normal"/>
        <w:ind w:firstLine="720" w:end="0"/>
        <w:jc w:val="both"/>
        <w:rPr/>
      </w:pPr>
      <w:r>
        <w:rPr/>
      </w:r>
    </w:p>
    <w:p>
      <w:pPr>
        <w:pStyle w:val="Normal"/>
        <w:ind w:firstLine="720" w:end="0"/>
        <w:jc w:val="both"/>
        <w:rPr/>
      </w:pPr>
      <w:r>
        <w:rPr/>
        <w:t>8)</w:t>
        <w:tab/>
        <w:t>Buyer Representatives will be provided reasonable office space and telephone and copier access and computer hookup/connections, however, due to networking security concerns, Buyer Representatives will not be provided access to the Seller’s or any Acquired Companies computer network.  Buyer Representatives will be responsible for their own lodging, parking, meals, and transportation during the Observation Period.</w:t>
      </w:r>
    </w:p>
    <w:p>
      <w:pPr>
        <w:pStyle w:val="Normal"/>
        <w:ind w:firstLine="720" w:end="0"/>
        <w:jc w:val="both"/>
        <w:rPr/>
      </w:pPr>
      <w:r>
        <w:rPr/>
      </w:r>
    </w:p>
    <w:p>
      <w:pPr>
        <w:pStyle w:val="Normal"/>
        <w:ind w:firstLine="720" w:end="0"/>
        <w:jc w:val="both"/>
        <w:rPr/>
      </w:pPr>
      <w:r>
        <w:rPr/>
        <w:t>9)</w:t>
        <w:tab/>
        <w:t>Buyer Representatives will be responsible for and will reimburse Seller, on request, for all costs, expenses and charges incurred by Seller in providing copying, telecopier, facsimile, long distance telephone, courier and related services to the Buyer Representative during the Observation Period.  All such reimbursements will be paid by Buyer within five (5) days after the date of invoice from Seller.</w:t>
      </w:r>
    </w:p>
    <w:p>
      <w:pPr>
        <w:pStyle w:val="Normal"/>
        <w:ind w:firstLine="720" w:end="0"/>
        <w:jc w:val="both"/>
        <w:rPr/>
      </w:pPr>
      <w:r>
        <w:rPr/>
      </w:r>
    </w:p>
    <w:p>
      <w:pPr>
        <w:pStyle w:val="Normal"/>
        <w:ind w:firstLine="720" w:end="0"/>
        <w:jc w:val="both"/>
        <w:rPr/>
      </w:pPr>
      <w:r>
        <w:rPr/>
        <w:t>10)</w:t>
        <w:tab/>
        <w:t>Buyer shall indemnify, defend and hold Seller, its Affiliates and any directors, officers, partners, employees and agents of Seller (collectively, the “Indemnitees”) harmless from and against and will reimburse Indemnitees for, any and all claims, demands, causes of action, proceedings (including, without limitation, informal proceedings), judgments, settlements, losses, damages, penalties, fines, liabilities (including, but not limited to, death, personal injury or property damage), interests, costs and expenses (including, without limitation, reasonable attorney’s and expert’s fees and court costs), of any kind or character, known or unknown, fixed or contingent, liquidated or unliquidated, asserted against or incurred by Indemnitees, at any time or form time to time to the extent caused by:  (i) Buyer’s or any Buyer Representatives breach of the protocols; (ii) violation of any Law by Buyer or any Buyer Representative or (iii) the negligence of Buyer Representatives on the Premises.  Notwithstanding any other provision of this Agreement, this indemnification shall survive the termination or expiration of the Purchase and Sale Agreement until such time as all possible statutory limitation periods are no longer applicable.</w:t>
      </w:r>
    </w:p>
    <w:p>
      <w:pPr>
        <w:pStyle w:val="Normal"/>
        <w:ind w:firstLine="720" w:end="0"/>
        <w:jc w:val="both"/>
        <w:rPr/>
      </w:pPr>
      <w:r>
        <w:rPr/>
      </w:r>
    </w:p>
    <w:p>
      <w:pPr>
        <w:pStyle w:val="Header"/>
        <w:tabs>
          <w:tab w:val="clear" w:pos="4680"/>
          <w:tab w:val="clear" w:pos="9360"/>
        </w:tabs>
        <w:ind w:firstLine="720" w:end="0"/>
        <w:rPr/>
      </w:pPr>
      <w:r>
        <w:rPr/>
        <w:t>11)</w:t>
        <w:tab/>
        <w:t>If requested to vacate or not to enter onto the Premises during the Observation Period, Buyer Representatives shall immediately vacate or not enter onto the Premises, provided nothing herein negates the obligations of the Seller to provide access to the Buyer during the Observation Period as reflected in Section 7.13 of the Purchase and Sale Agreement.  Buyer Representatives acknowledge that they may be asked to vacate the premises and that their right to access afforded in Section 7.13 of the Purchase and Sale Agreement can be terminated upon notice from Seller of any breach or violation by the Buyer Representative of the foregoing protocols.</w:t>
      </w:r>
    </w:p>
    <w:sectPr>
      <w:headerReference w:type="default" r:id="rId28"/>
      <w:headerReference w:type="first" r:id="rId29"/>
      <w:footerReference w:type="default" r:id="rId30"/>
      <w:footerReference w:type="first" r:id="rId31"/>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12pt">
    <w:altName w:val="Times New Roman"/>
    <w:charset w:val="00" w:characterSet="windows-1252"/>
    <w:family w:val="roman"/>
    <w:pitch w:val="default"/>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362488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Note:  This transaction relates to the Master Purchase/Sale Agreement, Global #96000240.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1080"/>
        </w:tabs>
        <w:ind w:start="1080" w:hanging="720"/>
      </w:pPr>
      <w:rPr/>
    </w:lvl>
  </w:abstractNum>
  <w:abstractNum w:abstractNumId="4">
    <w:lvl w:ilvl="0">
      <w:start w:val="1"/>
      <w:numFmt w:val="bullet"/>
      <w:lvlText w:val=""/>
      <w:lvlJc w:val="start"/>
      <w:pPr>
        <w:tabs>
          <w:tab w:val="num" w:pos="1080"/>
        </w:tabs>
        <w:ind w:start="108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1440"/>
        </w:tabs>
        <w:ind w:start="1440" w:hanging="720"/>
      </w:pPr>
      <w:rPr/>
    </w:lvl>
  </w:abstractNum>
  <w:abstractNum w:abstractNumId="7">
    <w:lvl w:ilvl="0">
      <w:start w:val="1"/>
      <w:numFmt w:val="decimal"/>
      <w:lvlText w:val="%1."/>
      <w:lvlJc w:val="start"/>
      <w:pPr>
        <w:tabs>
          <w:tab w:val="num" w:pos="360"/>
        </w:tabs>
        <w:ind w:start="0" w:hanging="0"/>
      </w:pPr>
      <w:rPr/>
    </w:lvl>
  </w:abstractNum>
  <w:abstractNum w:abstractNumId="8">
    <w:lvl w:ilvl="0">
      <w:start w:val="1"/>
      <w:numFmt w:val="upperLetter"/>
      <w:lvlText w:val="%1."/>
      <w:lvlJc w:val="start"/>
      <w:pPr>
        <w:tabs>
          <w:tab w:val="num" w:pos="360"/>
        </w:tabs>
        <w:ind w:start="0" w:hanging="0"/>
      </w:pPr>
      <w:rPr/>
    </w:lvl>
  </w:abstractNum>
  <w:abstractNum w:abstractNumId="9">
    <w:lvl w:ilvl="0">
      <w:start w:val="1"/>
      <w:numFmt w:val="bullet"/>
      <w:lvlText w:val=""/>
      <w:lvlJc w:val="start"/>
      <w:pPr>
        <w:tabs>
          <w:tab w:val="num" w:pos="1080"/>
        </w:tabs>
        <w:ind w:start="1080" w:hanging="360"/>
      </w:pPr>
      <w:rPr>
        <w:rFonts w:ascii="Symbol" w:hAnsi="Symbol" w:cs="Symbol" w:hint="default"/>
        <w:sz w:val="20"/>
      </w:rPr>
    </w:lvl>
  </w:abstractNum>
  <w:abstractNum w:abstractNumId="10">
    <w:lvl w:ilvl="0">
      <w:start w:val="1"/>
      <w:numFmt w:val="bullet"/>
      <w:lvlText w:val=""/>
      <w:lvlJc w:val="start"/>
      <w:pPr>
        <w:tabs>
          <w:tab w:val="num" w:pos="1080"/>
        </w:tabs>
        <w:ind w:start="1080" w:hanging="360"/>
      </w:pPr>
      <w:rPr>
        <w:rFonts w:ascii="Symbol" w:hAnsi="Symbol" w:cs="Symbol" w:hint="default"/>
      </w:rPr>
    </w:lvl>
  </w:abstractNum>
  <w:abstractNum w:abstractNumId="11">
    <w:lvl w:ilvl="0">
      <w:start w:val="1"/>
      <w:numFmt w:val="upperLetter"/>
      <w:lvlText w:val="%1."/>
      <w:lvlJc w:val="start"/>
      <w:pPr>
        <w:tabs>
          <w:tab w:val="num" w:pos="1440"/>
        </w:tabs>
        <w:ind w:start="1440" w:hanging="720"/>
      </w:pPr>
      <w:rPr/>
    </w:lvl>
  </w:abstractNum>
  <w:abstractNum w:abstractNumId="12">
    <w:lvl w:ilvl="0">
      <w:start w:val="1"/>
      <w:numFmt w:val="decimal"/>
      <w:lvlText w:val="%1."/>
      <w:lvlJc w:val="start"/>
      <w:pPr>
        <w:tabs>
          <w:tab w:val="num" w:pos="1080"/>
        </w:tabs>
        <w:ind w:start="1080" w:hanging="720"/>
      </w:pPr>
      <w:rPr/>
    </w:lvl>
  </w:abstractNum>
  <w:abstractNum w:abstractNumId="1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1080"/>
        </w:tabs>
        <w:ind w:start="1080" w:hanging="360"/>
      </w:pPr>
      <w:rPr>
        <w:rFonts w:ascii="Symbol" w:hAnsi="Symbol" w:cs="Symbol" w:hint="default"/>
        <w:sz w:val="20"/>
      </w:rPr>
    </w:lvl>
  </w:abstractNum>
  <w:abstractNum w:abstractNumId="20">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autoSpaceDE w:val="false"/>
      <w:jc w:val="center"/>
      <w:outlineLvl w:val="0"/>
    </w:pPr>
    <w:rPr>
      <w:b/>
      <w:bCs/>
      <w:sz w:val="36"/>
      <w:szCs w:val="36"/>
    </w:rPr>
  </w:style>
  <w:style w:type="paragraph" w:styleId="Heading2">
    <w:name w:val="heading 2"/>
    <w:basedOn w:val="Normal"/>
    <w:next w:val="Normal"/>
    <w:qFormat/>
    <w:pPr>
      <w:keepNext w:val="true"/>
      <w:widowControl w:val="fals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color w:val="000000"/>
      <w:sz w:val="36"/>
      <w:szCs w:val="3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6z0">
    <w:name w:val="WW8Num36z0"/>
    <w:qFormat/>
    <w:rPr/>
  </w:style>
  <w:style w:type="character" w:styleId="WW8Num36z1">
    <w:name w:val="WW8Num36z1"/>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sz w:val="2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style>
  <w:style w:type="character" w:styleId="WW8Num42z0">
    <w:name w:val="WW8Num42z0"/>
    <w:qFormat/>
    <w:rPr>
      <w:rFonts w:ascii="Symbol" w:hAnsi="Symbol" w:cs="Symbol"/>
      <w:sz w:val="20"/>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sz w:val="2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sz w:val="2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style>
  <w:style w:type="character" w:styleId="WW8Num52z1">
    <w:name w:val="WW8Num52z1"/>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Cs w:val="24"/>
      <w:u w:val="single"/>
    </w:rPr>
  </w:style>
  <w:style w:type="paragraph" w:styleId="BodyText">
    <w:name w:val="Body Text"/>
    <w:basedOn w:val="Normal"/>
    <w:pPr>
      <w:autoSpaceDE w:val="false"/>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hanging="0" w:start="360" w:end="0"/>
      <w:jc w:val="both"/>
    </w:pPr>
    <w:rPr>
      <w:color w:val="000000"/>
    </w:rPr>
  </w:style>
  <w:style w:type="paragraph" w:styleId="BodyTextIndent2">
    <w:name w:val="Body Text Indent 2"/>
    <w:basedOn w:val="Normal"/>
    <w:qFormat/>
    <w:pPr>
      <w:tabs>
        <w:tab w:val="clear" w:pos="720"/>
        <w:tab w:val="left" w:pos="1080" w:leader="none"/>
      </w:tabs>
      <w:ind w:hanging="0" w:start="360" w:end="0"/>
    </w:pPr>
    <w:rPr/>
  </w:style>
  <w:style w:type="paragraph" w:styleId="EndnoteText">
    <w:name w:val="endnote text"/>
    <w:basedOn w:val="Normal"/>
    <w:pPr/>
    <w:rPr>
      <w:rFonts w:ascii="Courier New" w:hAnsi="Courier New" w:cs="Courier New"/>
    </w:rPr>
  </w:style>
  <w:style w:type="paragraph" w:styleId="VENormal">
    <w:name w:val="VE Normal"/>
    <w:basedOn w:val="Normal"/>
    <w:qFormat/>
    <w:pPr>
      <w:jc w:val="both"/>
    </w:pPr>
    <w:rPr>
      <w:bCs/>
    </w:rPr>
  </w:style>
  <w:style w:type="paragraph" w:styleId="VE123List">
    <w:name w:val="VE 123 List"/>
    <w:basedOn w:val="VENormal"/>
    <w:qFormat/>
    <w:pPr>
      <w:numPr>
        <w:ilvl w:val="0"/>
        <w:numId w:val="6"/>
      </w:numPr>
      <w:spacing w:before="0" w:after="240"/>
    </w:pPr>
    <w:rPr/>
  </w:style>
  <w:style w:type="paragraph" w:styleId="VEABCList">
    <w:name w:val="VE ABC List"/>
    <w:basedOn w:val="VENormal"/>
    <w:qFormat/>
    <w:pPr>
      <w:numPr>
        <w:ilvl w:val="0"/>
        <w:numId w:val="11"/>
      </w:numPr>
      <w:tabs>
        <w:tab w:val="clear" w:pos="720"/>
      </w:tabs>
      <w:spacing w:before="0" w:after="240"/>
    </w:pPr>
    <w:rPr/>
  </w:style>
  <w:style w:type="paragraph" w:styleId="VETable123">
    <w:name w:val="VE Table 123"/>
    <w:basedOn w:val="VENormal"/>
    <w:qFormat/>
    <w:pPr>
      <w:numPr>
        <w:ilvl w:val="0"/>
        <w:numId w:val="7"/>
      </w:numPr>
      <w:tabs>
        <w:tab w:val="clear" w:pos="720"/>
      </w:tabs>
    </w:pPr>
    <w:rPr/>
  </w:style>
  <w:style w:type="paragraph" w:styleId="VETableABC">
    <w:name w:val="VE Table ABC"/>
    <w:basedOn w:val="VENormal"/>
    <w:qFormat/>
    <w:pPr>
      <w:numPr>
        <w:ilvl w:val="0"/>
        <w:numId w:val="8"/>
      </w:numPr>
      <w:tabs>
        <w:tab w:val="clear" w:pos="720"/>
      </w:tabs>
    </w:pPr>
    <w:rPr/>
  </w:style>
  <w:style w:type="paragraph" w:styleId="VEBodyText">
    <w:name w:val="VE Body Text"/>
    <w:basedOn w:val="VENormal"/>
    <w:qFormat/>
    <w:pPr>
      <w:spacing w:before="0" w:after="240"/>
    </w:pPr>
    <w:rPr/>
  </w:style>
  <w:style w:type="paragraph" w:styleId="FootnoteText">
    <w:name w:val="footnote text"/>
    <w:basedOn w:val="Normal"/>
    <w:pPr/>
    <w:rPr>
      <w:bCs/>
      <w:sz w:val="20"/>
    </w:rPr>
  </w:style>
  <w:style w:type="paragraph" w:styleId="xl24">
    <w:name w:val="xl24"/>
    <w:basedOn w:val="Normal"/>
    <w:qFormat/>
    <w:pPr>
      <w:spacing w:before="100" w:after="100"/>
      <w:jc w:val="center"/>
    </w:pPr>
    <w:rPr>
      <w:szCs w:val="24"/>
    </w:rPr>
  </w:style>
  <w:style w:type="paragraph" w:styleId="xl25">
    <w:name w:val="xl25"/>
    <w:basedOn w:val="Normal"/>
    <w:qFormat/>
    <w:pPr>
      <w:spacing w:before="100" w:after="100"/>
      <w:jc w:val="center"/>
    </w:pPr>
    <w:rPr>
      <w:rFonts w:ascii="Arial" w:hAnsi="Arial" w:cs="Arial"/>
      <w:b/>
      <w:bCs/>
      <w:szCs w:val="24"/>
    </w:rPr>
  </w:style>
  <w:style w:type="paragraph" w:styleId="xl26">
    <w:name w:val="xl26"/>
    <w:basedOn w:val="Normal"/>
    <w:qFormat/>
    <w:pPr>
      <w:spacing w:before="100" w:after="100"/>
      <w:jc w:val="center"/>
    </w:pPr>
    <w:rPr>
      <w:rFonts w:ascii="Arial" w:hAnsi="Arial" w:cs="Arial"/>
      <w:b/>
      <w:bCs/>
      <w:szCs w:val="24"/>
    </w:rPr>
  </w:style>
  <w:style w:type="paragraph" w:styleId="xl28">
    <w:name w:val="xl28"/>
    <w:basedOn w:val="Normal"/>
    <w:qFormat/>
    <w:pPr>
      <w:pBdr>
        <w:bottom w:val="single" w:sz="4" w:space="0" w:color="000000"/>
      </w:pBdr>
      <w:spacing w:before="100" w:after="100"/>
      <w:jc w:val="center"/>
    </w:pPr>
    <w:rPr>
      <w:rFonts w:ascii="Arial" w:hAnsi="Arial" w:cs="Arial"/>
      <w:b/>
      <w:bCs/>
      <w:szCs w:val="24"/>
    </w:rPr>
  </w:style>
  <w:style w:type="paragraph" w:styleId="xl30">
    <w:name w:val="xl30"/>
    <w:basedOn w:val="Normal"/>
    <w:qFormat/>
    <w:pPr>
      <w:spacing w:before="100" w:after="100"/>
      <w:jc w:val="center"/>
    </w:pPr>
    <w:rPr>
      <w:rFonts w:ascii="Arial" w:hAnsi="Arial" w:cs="Arial"/>
      <w:b/>
      <w:bCs/>
      <w:szCs w:val="24"/>
    </w:rPr>
  </w:style>
  <w:style w:type="paragraph" w:styleId="xl32">
    <w:name w:val="xl32"/>
    <w:basedOn w:val="Normal"/>
    <w:qFormat/>
    <w:pPr>
      <w:pBdr>
        <w:bottom w:val="single" w:sz="4" w:space="0" w:color="000000"/>
      </w:pBdr>
      <w:spacing w:before="100" w:after="100"/>
      <w:jc w:val="center"/>
    </w:pPr>
    <w:rPr>
      <w:rFonts w:ascii="Arial" w:hAnsi="Arial" w:cs="Arial"/>
      <w:b/>
      <w:bCs/>
      <w:szCs w:val="24"/>
    </w:rPr>
  </w:style>
  <w:style w:type="paragraph" w:styleId="xl33">
    <w:name w:val="xl33"/>
    <w:basedOn w:val="Normal"/>
    <w:qFormat/>
    <w:pPr>
      <w:spacing w:before="100" w:after="100"/>
    </w:pPr>
    <w:rPr>
      <w:rFonts w:ascii="Arial" w:hAnsi="Arial" w:cs="Arial"/>
      <w:b/>
      <w:bCs/>
      <w:i/>
      <w:iCs/>
      <w:szCs w:val="24"/>
    </w:rPr>
  </w:style>
  <w:style w:type="paragraph" w:styleId="xl34">
    <w:name w:val="xl34"/>
    <w:basedOn w:val="Normal"/>
    <w:qFormat/>
    <w:pPr>
      <w:spacing w:before="100" w:after="100"/>
    </w:pPr>
    <w:rPr>
      <w:rFonts w:ascii="Arial" w:hAnsi="Arial" w:cs="Arial"/>
      <w:b/>
      <w:bCs/>
      <w:szCs w:val="24"/>
    </w:rPr>
  </w:style>
  <w:style w:type="paragraph" w:styleId="xl35">
    <w:name w:val="xl35"/>
    <w:basedOn w:val="Normal"/>
    <w:qFormat/>
    <w:pPr>
      <w:spacing w:before="100" w:after="100"/>
    </w:pPr>
    <w:rPr>
      <w:rFonts w:ascii="Arial" w:hAnsi="Arial" w:cs="Arial"/>
      <w:b/>
      <w:bCs/>
      <w:szCs w:val="24"/>
    </w:rPr>
  </w:style>
  <w:style w:type="paragraph" w:styleId="xl36">
    <w:name w:val="xl36"/>
    <w:basedOn w:val="Normal"/>
    <w:qFormat/>
    <w:pPr>
      <w:spacing w:before="100" w:after="100"/>
    </w:pPr>
    <w:rPr>
      <w:rFonts w:ascii="Arial" w:hAnsi="Arial" w:cs="Arial"/>
      <w:b/>
      <w:bCs/>
      <w:szCs w:val="24"/>
    </w:rPr>
  </w:style>
  <w:style w:type="paragraph" w:styleId="xl37">
    <w:name w:val="xl37"/>
    <w:basedOn w:val="Normal"/>
    <w:qFormat/>
    <w:pPr>
      <w:spacing w:before="100" w:after="100"/>
    </w:pPr>
    <w:rPr>
      <w:rFonts w:ascii="Arial" w:hAnsi="Arial" w:cs="Arial"/>
      <w:szCs w:val="24"/>
    </w:rPr>
  </w:style>
  <w:style w:type="paragraph" w:styleId="xl38">
    <w:name w:val="xl38"/>
    <w:basedOn w:val="Normal"/>
    <w:qFormat/>
    <w:pPr>
      <w:spacing w:before="100" w:after="100"/>
    </w:pPr>
    <w:rPr>
      <w:rFonts w:ascii="Arial" w:hAnsi="Arial" w:cs="Arial"/>
      <w:szCs w:val="24"/>
    </w:rPr>
  </w:style>
  <w:style w:type="paragraph" w:styleId="xl39">
    <w:name w:val="xl39"/>
    <w:basedOn w:val="Normal"/>
    <w:qFormat/>
    <w:pPr>
      <w:spacing w:before="100" w:after="100"/>
    </w:pPr>
    <w:rPr>
      <w:rFonts w:ascii="Arial" w:hAnsi="Arial" w:cs="Arial"/>
      <w:szCs w:val="24"/>
    </w:rPr>
  </w:style>
  <w:style w:type="paragraph" w:styleId="xl40">
    <w:name w:val="xl40"/>
    <w:basedOn w:val="Normal"/>
    <w:qFormat/>
    <w:pPr>
      <w:spacing w:before="100" w:after="100"/>
    </w:pPr>
    <w:rPr>
      <w:rFonts w:ascii="Arial" w:hAnsi="Arial" w:cs="Arial"/>
      <w:szCs w:val="24"/>
    </w:rPr>
  </w:style>
  <w:style w:type="paragraph" w:styleId="xl41">
    <w:name w:val="xl41"/>
    <w:basedOn w:val="Normal"/>
    <w:qFormat/>
    <w:pPr>
      <w:spacing w:before="100" w:after="100"/>
      <w:jc w:val="center"/>
    </w:pPr>
    <w:rPr>
      <w:rFonts w:ascii="Arial" w:hAnsi="Arial" w:cs="Arial"/>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header" Target="header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header" Target="header4.xml"/><Relationship Id="rId21" Type="http://schemas.openxmlformats.org/officeDocument/2006/relationships/header" Target="header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footnotes" Target="footnotes.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2001-05-10T16:51:00Z</dcterms:created>
  <dc:creator>Ken Fenelon</dc:creator>
  <dc:description/>
  <dc:language>en-CA</dc:language>
  <cp:lastModifiedBy>sbraban</cp:lastModifiedBy>
  <cp:lastPrinted>2001-01-11T15:19:00Z</cp:lastPrinted>
  <dcterms:modified xsi:type="dcterms:W3CDTF">2001-05-10T16:51:00Z</dcterms:modified>
  <cp:revision>2</cp:revision>
  <dc:subject/>
  <dc:title>PURCHASE AND SALE AGREEMENT</dc:title>
</cp:coreProperties>
</file>