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The DISCO of the Future: A National Forum Regarding the Future of Gas and Electric Distribution Utilities</w:t>
      </w:r>
    </w:p>
    <w:p>
      <w:pPr>
        <w:pStyle w:val="Normal"/>
        <w:jc w:val="both"/>
        <w:rPr>
          <w:rFonts w:ascii="Arial" w:hAnsi="Arial" w:cs="Arial"/>
          <w:sz w:val="22"/>
        </w:rPr>
      </w:pPr>
      <w:r>
        <w:rPr>
          <w:rFonts w:cs="Arial" w:ascii="Arial" w:hAnsi="Arial"/>
          <w:sz w:val="22"/>
        </w:rPr>
      </w:r>
    </w:p>
    <w:p>
      <w:pPr>
        <w:pStyle w:val="Heading1"/>
        <w:ind w:hanging="0" w:start="0"/>
        <w:rPr/>
      </w:pPr>
      <w:r>
        <w:rPr/>
        <w:t>Main recommendations and their impact on competition and marketers’ activities</w:t>
      </w:r>
    </w:p>
    <w:p>
      <w:pPr>
        <w:pStyle w:val="Normal"/>
        <w:jc w:val="both"/>
        <w:rPr>
          <w:rFonts w:ascii="Arial" w:hAnsi="Arial" w:cs="Arial"/>
          <w:sz w:val="22"/>
        </w:rPr>
      </w:pPr>
      <w:r>
        <w:rPr>
          <w:rFonts w:cs="Arial" w:ascii="Arial" w:hAnsi="Arial"/>
          <w:sz w:val="22"/>
        </w:rPr>
      </w:r>
    </w:p>
    <w:p>
      <w:pPr>
        <w:pStyle w:val="Heading1"/>
        <w:ind w:hanging="0" w:start="0"/>
        <w:rPr/>
      </w:pPr>
      <w:r>
        <w:rPr/>
        <w:t xml:space="preserve">Energy Delivery </w:t>
      </w:r>
    </w:p>
    <w:p>
      <w:pPr>
        <w:pStyle w:val="Normal"/>
        <w:jc w:val="both"/>
        <w:rPr/>
      </w:pPr>
      <w:r>
        <w:rPr>
          <w:rFonts w:cs="Arial" w:ascii="Arial" w:hAnsi="Arial"/>
          <w:sz w:val="22"/>
          <w:u w:val="single"/>
        </w:rPr>
        <w:t>Recommendation</w:t>
      </w:r>
      <w:r>
        <w:rPr>
          <w:rFonts w:cs="Arial" w:ascii="Arial" w:hAnsi="Arial"/>
          <w:sz w:val="22"/>
        </w:rPr>
        <w:t>: Regulators require utilities to report all significant distribution upgrades and extensions.</w:t>
      </w:r>
    </w:p>
    <w:p>
      <w:pPr>
        <w:pStyle w:val="Normal"/>
        <w:jc w:val="both"/>
        <w:rPr/>
      </w:pPr>
      <w:r>
        <w:rPr>
          <w:rFonts w:cs="Arial" w:ascii="Arial" w:hAnsi="Arial"/>
          <w:sz w:val="22"/>
          <w:u w:val="single"/>
        </w:rPr>
        <w:t>Impact on Competition</w:t>
      </w:r>
      <w:r>
        <w:rPr>
          <w:rFonts w:cs="Arial" w:ascii="Arial" w:hAnsi="Arial"/>
          <w:sz w:val="22"/>
        </w:rPr>
        <w:t>: Positive. Marketers can better foresee reliability of service and determine services to buy and sell</w:t>
      </w:r>
    </w:p>
    <w:p>
      <w:pPr>
        <w:pStyle w:val="Normal"/>
        <w:jc w:val="both"/>
        <w:rPr>
          <w:rFonts w:ascii="Arial" w:hAnsi="Arial" w:cs="Arial"/>
          <w:sz w:val="22"/>
        </w:rPr>
      </w:pPr>
      <w:r>
        <w:rPr>
          <w:rFonts w:cs="Arial" w:ascii="Arial" w:hAnsi="Arial"/>
          <w:sz w:val="22"/>
        </w:rPr>
      </w:r>
    </w:p>
    <w:p>
      <w:pPr>
        <w:pStyle w:val="Heading1"/>
        <w:ind w:hanging="0" w:start="0"/>
        <w:rPr/>
      </w:pPr>
      <w:r>
        <w:rPr/>
        <w:t>Reliability and Quality</w:t>
      </w:r>
    </w:p>
    <w:p>
      <w:pPr>
        <w:pStyle w:val="Normal"/>
        <w:jc w:val="both"/>
        <w:rPr/>
      </w:pPr>
      <w:r>
        <w:rPr>
          <w:rFonts w:cs="Arial" w:ascii="Arial" w:hAnsi="Arial"/>
          <w:sz w:val="22"/>
          <w:u w:val="single"/>
        </w:rPr>
        <w:t>Recommendation</w:t>
      </w:r>
      <w:r>
        <w:rPr>
          <w:rFonts w:cs="Arial" w:ascii="Arial" w:hAnsi="Arial"/>
          <w:sz w:val="22"/>
        </w:rPr>
        <w:t>: Regulatory commissions should define the basic level of service for reliability and quality, objective standards of minimum performance and the consequences of non-performance.</w:t>
      </w:r>
    </w:p>
    <w:p>
      <w:pPr>
        <w:pStyle w:val="Normal"/>
        <w:jc w:val="both"/>
        <w:rPr/>
      </w:pPr>
      <w:r>
        <w:rPr>
          <w:rFonts w:cs="Arial" w:ascii="Arial" w:hAnsi="Arial"/>
          <w:sz w:val="22"/>
          <w:u w:val="single"/>
        </w:rPr>
        <w:t>Impact on Competition</w:t>
      </w:r>
      <w:r>
        <w:rPr>
          <w:rFonts w:cs="Arial" w:ascii="Arial" w:hAnsi="Arial"/>
          <w:sz w:val="22"/>
        </w:rPr>
        <w:t>: Positive. Marketers can better manage distribution service risk</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xml:space="preserve">: Premium levels of reliability and power quality should be acquired by retail customers in the competitive market.  </w:t>
      </w:r>
    </w:p>
    <w:p>
      <w:pPr>
        <w:pStyle w:val="Normal"/>
        <w:jc w:val="both"/>
        <w:rPr/>
      </w:pPr>
      <w:r>
        <w:rPr>
          <w:rFonts w:cs="Arial" w:ascii="Arial" w:hAnsi="Arial"/>
          <w:sz w:val="22"/>
          <w:u w:val="single"/>
        </w:rPr>
        <w:t>Impact on Competition</w:t>
      </w:r>
      <w:r>
        <w:rPr>
          <w:rFonts w:cs="Arial" w:ascii="Arial" w:hAnsi="Arial"/>
          <w:sz w:val="22"/>
        </w:rPr>
        <w:t>: Positive. Marketers can provide more services.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Competitive service providers should be granted equal access to all distribution facilities and services.</w:t>
      </w:r>
    </w:p>
    <w:p>
      <w:pPr>
        <w:pStyle w:val="Normal"/>
        <w:jc w:val="both"/>
        <w:rPr/>
      </w:pPr>
      <w:r>
        <w:rPr>
          <w:rFonts w:cs="Arial" w:ascii="Arial" w:hAnsi="Arial"/>
          <w:sz w:val="22"/>
          <w:u w:val="single"/>
        </w:rPr>
        <w:t>Impact on Competition</w:t>
      </w:r>
      <w:r>
        <w:rPr>
          <w:rFonts w:cs="Arial" w:ascii="Arial" w:hAnsi="Arial"/>
          <w:sz w:val="22"/>
        </w:rPr>
        <w:t>: Positive. Our basic claim.</w:t>
      </w:r>
    </w:p>
    <w:p>
      <w:pPr>
        <w:pStyle w:val="Normal"/>
        <w:jc w:val="both"/>
        <w:rPr>
          <w:rFonts w:ascii="Arial" w:hAnsi="Arial" w:cs="Arial"/>
          <w:sz w:val="22"/>
        </w:rPr>
      </w:pPr>
      <w:r>
        <w:rPr>
          <w:rFonts w:cs="Arial" w:ascii="Arial" w:hAnsi="Arial"/>
          <w:sz w:val="22"/>
        </w:rPr>
      </w:r>
    </w:p>
    <w:p>
      <w:pPr>
        <w:pStyle w:val="Heading1"/>
        <w:ind w:hanging="0" w:start="0"/>
        <w:rPr/>
      </w:pPr>
      <w:r>
        <w:rPr/>
        <w:t>Safety</w:t>
      </w:r>
    </w:p>
    <w:p>
      <w:pPr>
        <w:pStyle w:val="Normal"/>
        <w:jc w:val="both"/>
        <w:rPr/>
      </w:pPr>
      <w:r>
        <w:rPr>
          <w:rFonts w:cs="Arial" w:ascii="Arial" w:hAnsi="Arial"/>
          <w:sz w:val="22"/>
          <w:u w:val="single"/>
        </w:rPr>
        <w:t>Recommendation</w:t>
      </w:r>
      <w:r>
        <w:rPr>
          <w:rFonts w:cs="Arial" w:ascii="Arial" w:hAnsi="Arial"/>
          <w:sz w:val="22"/>
        </w:rPr>
        <w:t>: Safety standards must not be lowered or receive less emphasis during or after restructuring.</w:t>
      </w:r>
    </w:p>
    <w:p>
      <w:pPr>
        <w:pStyle w:val="Normal"/>
        <w:jc w:val="both"/>
        <w:rPr/>
      </w:pPr>
      <w:r>
        <w:rPr>
          <w:rFonts w:cs="Arial" w:ascii="Arial" w:hAnsi="Arial"/>
          <w:sz w:val="22"/>
          <w:u w:val="single"/>
        </w:rPr>
        <w:t>Impact on Competition</w:t>
      </w:r>
      <w:r>
        <w:rPr>
          <w:rFonts w:cs="Arial" w:ascii="Arial" w:hAnsi="Arial"/>
          <w:sz w:val="22"/>
        </w:rPr>
        <w:t xml:space="preserve">: Positive. </w:t>
      </w:r>
    </w:p>
    <w:p>
      <w:pPr>
        <w:pStyle w:val="Normal"/>
        <w:jc w:val="both"/>
        <w:rPr>
          <w:rFonts w:ascii="Arial" w:hAnsi="Arial" w:cs="Arial"/>
          <w:sz w:val="22"/>
        </w:rPr>
      </w:pPr>
      <w:r>
        <w:rPr>
          <w:rFonts w:cs="Arial" w:ascii="Arial" w:hAnsi="Arial"/>
          <w:sz w:val="22"/>
        </w:rPr>
      </w:r>
    </w:p>
    <w:p>
      <w:pPr>
        <w:pStyle w:val="Heading1"/>
        <w:ind w:hanging="0" w:start="0"/>
        <w:rPr/>
      </w:pPr>
      <w:r>
        <w:rPr/>
        <w:t>Pricing</w:t>
      </w:r>
    </w:p>
    <w:p>
      <w:pPr>
        <w:pStyle w:val="Normal"/>
        <w:jc w:val="both"/>
        <w:rPr/>
      </w:pPr>
      <w:r>
        <w:rPr>
          <w:rFonts w:cs="Arial" w:ascii="Arial" w:hAnsi="Arial"/>
          <w:sz w:val="22"/>
          <w:u w:val="single"/>
        </w:rPr>
        <w:t>Recommendation</w:t>
      </w:r>
      <w:r>
        <w:rPr>
          <w:rFonts w:cs="Arial" w:ascii="Arial" w:hAnsi="Arial"/>
          <w:sz w:val="22"/>
        </w:rPr>
        <w:t>: There is a growing recognition that past regulatory policies that supported average-embedded cost pricing inhibited customer demand responsiveness.</w:t>
      </w:r>
    </w:p>
    <w:p>
      <w:pPr>
        <w:pStyle w:val="Normal"/>
        <w:jc w:val="both"/>
        <w:rPr/>
      </w:pPr>
      <w:r>
        <w:rPr>
          <w:rFonts w:cs="Arial" w:ascii="Arial" w:hAnsi="Arial"/>
          <w:sz w:val="22"/>
          <w:u w:val="single"/>
        </w:rPr>
        <w:t>Impact on Competition</w:t>
      </w:r>
      <w:r>
        <w:rPr>
          <w:rFonts w:cs="Arial" w:ascii="Arial" w:hAnsi="Arial"/>
          <w:sz w:val="22"/>
        </w:rPr>
        <w:t xml:space="preserve">: Positive. Poor customer response may have resulted in inefficient investment decisions (over-investment).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Pricing flexibility would allow distribution utilities to differentiate among customers on the basis of individual and customer class price elasticity.  This approach would favor the need to increase a utility's revenues and may be appropriate if revenue stability is an objective.</w:t>
      </w:r>
    </w:p>
    <w:p>
      <w:pPr>
        <w:pStyle w:val="Normal"/>
        <w:jc w:val="both"/>
        <w:rPr/>
      </w:pPr>
      <w:r>
        <w:rPr>
          <w:rFonts w:cs="Arial" w:ascii="Arial" w:hAnsi="Arial"/>
          <w:sz w:val="22"/>
          <w:u w:val="single"/>
        </w:rPr>
        <w:t>Impact on Competition</w:t>
      </w:r>
      <w:r>
        <w:rPr>
          <w:rFonts w:cs="Arial" w:ascii="Arial" w:hAnsi="Arial"/>
          <w:sz w:val="22"/>
        </w:rPr>
        <w:t xml:space="preserve">: </w:t>
      </w:r>
      <w:r>
        <w:rPr>
          <w:rFonts w:cs="Arial" w:ascii="Arial" w:hAnsi="Arial"/>
          <w:sz w:val="22"/>
          <w:u w:val="single"/>
        </w:rPr>
        <w:t>Dangerous</w:t>
      </w:r>
      <w:r>
        <w:rPr>
          <w:rFonts w:cs="Arial" w:ascii="Arial" w:hAnsi="Arial"/>
          <w:sz w:val="22"/>
        </w:rPr>
        <w:t>. This could be a window to discrimination. Distribution price differences should be based on real costs, time of use rates, firmness and geographic variables.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Time-of-use and real-time pricing should be encouraged to allow utilities to determine an efficient level of investment in distribution plant. Distribution utilities should be prohibited from erecting barriers to time-of-use or real-time pricing.</w:t>
      </w:r>
    </w:p>
    <w:p>
      <w:pPr>
        <w:pStyle w:val="Normal"/>
        <w:jc w:val="both"/>
        <w:rPr/>
      </w:pPr>
      <w:r>
        <w:rPr>
          <w:rFonts w:cs="Arial" w:ascii="Arial" w:hAnsi="Arial"/>
          <w:sz w:val="22"/>
          <w:u w:val="single"/>
        </w:rPr>
        <w:t>Impact on Competition</w:t>
      </w:r>
      <w:r>
        <w:rPr>
          <w:rFonts w:cs="Arial" w:ascii="Arial" w:hAnsi="Arial"/>
          <w:sz w:val="22"/>
        </w:rPr>
        <w:t>: Positive. Time-of-use and real-time pricing facilitate customer demand-responsiveness, and may be valuable to retail service providers, power marketers, and generation companies.</w:t>
      </w:r>
    </w:p>
    <w:p>
      <w:pPr>
        <w:pStyle w:val="Normal"/>
        <w:jc w:val="both"/>
        <w:rPr>
          <w:rFonts w:ascii="Arial" w:hAnsi="Arial" w:cs="Arial"/>
          <w:sz w:val="22"/>
        </w:rPr>
      </w:pPr>
      <w:r>
        <w:rPr>
          <w:rFonts w:cs="Arial" w:ascii="Arial" w:hAnsi="Arial"/>
          <w:sz w:val="22"/>
        </w:rPr>
      </w:r>
    </w:p>
    <w:p>
      <w:pPr>
        <w:pStyle w:val="Heading1"/>
        <w:ind w:hanging="0" w:start="0"/>
        <w:rPr/>
      </w:pPr>
      <w:r>
        <w:rPr/>
        <w:t>Energy ethics</w:t>
      </w:r>
    </w:p>
    <w:p>
      <w:pPr>
        <w:pStyle w:val="Normal"/>
        <w:jc w:val="both"/>
        <w:rPr/>
      </w:pPr>
      <w:r>
        <w:rPr>
          <w:rFonts w:cs="Arial" w:ascii="Arial" w:hAnsi="Arial"/>
          <w:sz w:val="22"/>
          <w:u w:val="single"/>
        </w:rPr>
        <w:t>Recommendation</w:t>
      </w:r>
      <w:r>
        <w:rPr>
          <w:rFonts w:cs="Arial" w:ascii="Arial" w:hAnsi="Arial"/>
          <w:sz w:val="22"/>
        </w:rPr>
        <w:t>: As long as political factors require that distribution utilities will be used to collect money and to implement social policies, these policies and issues should be publicized and the subsidies should be clearly identified.</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Heading1"/>
        <w:ind w:hanging="0" w:start="0"/>
        <w:rPr/>
      </w:pPr>
      <w:r>
        <w:rPr/>
        <w:t>Transmission Service</w:t>
      </w:r>
    </w:p>
    <w:p>
      <w:pPr>
        <w:pStyle w:val="Normal"/>
        <w:jc w:val="both"/>
        <w:rPr/>
      </w:pPr>
      <w:r>
        <w:rPr>
          <w:rFonts w:cs="Arial" w:ascii="Arial" w:hAnsi="Arial"/>
          <w:sz w:val="22"/>
          <w:u w:val="single"/>
        </w:rPr>
        <w:t>Recommendation</w:t>
      </w:r>
      <w:r>
        <w:rPr>
          <w:rFonts w:cs="Arial" w:ascii="Arial" w:hAnsi="Arial"/>
          <w:sz w:val="22"/>
        </w:rPr>
        <w:t xml:space="preserve">: The FERC should be authorized to give states a formal role as a decision maker to enhance regional transmission planning, siting, and certification OR the FERC's authority over transmission line rights-of-way should be increased as recommended in the May 2001 National Energy Policy.  </w:t>
      </w:r>
    </w:p>
    <w:p>
      <w:pPr>
        <w:pStyle w:val="Normal"/>
        <w:jc w:val="both"/>
        <w:rPr/>
      </w:pPr>
      <w:r>
        <w:rPr>
          <w:rFonts w:cs="Arial" w:ascii="Arial" w:hAnsi="Arial"/>
          <w:sz w:val="22"/>
          <w:u w:val="single"/>
        </w:rPr>
        <w:t>Impact on Competition</w:t>
      </w:r>
      <w:r>
        <w:rPr>
          <w:rFonts w:cs="Arial" w:ascii="Arial" w:hAnsi="Arial"/>
          <w:sz w:val="22"/>
        </w:rPr>
        <w:t>: I guess we would prefer a stronger FERC than stronger state commissions since the first tends to be more interested in competition.</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FERC should improve the incentives to transmission providers to address transmission constraints, build new transmission capacity, and should explore pricing policies that reward siting of power plants to support competitive markets.</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rPr/>
      </w:pPr>
      <w:r>
        <w:rPr/>
        <w:t>Mergers</w:t>
      </w:r>
    </w:p>
    <w:p>
      <w:pPr>
        <w:pStyle w:val="Normal"/>
        <w:jc w:val="both"/>
        <w:rPr/>
      </w:pPr>
      <w:r>
        <w:rPr>
          <w:rFonts w:cs="Arial" w:ascii="Arial" w:hAnsi="Arial"/>
          <w:sz w:val="22"/>
          <w:u w:val="single"/>
        </w:rPr>
        <w:t>Recommendation</w:t>
      </w:r>
      <w:r>
        <w:rPr>
          <w:rFonts w:cs="Arial" w:ascii="Arial" w:hAnsi="Arial"/>
          <w:sz w:val="22"/>
        </w:rPr>
        <w:t>: Regulatory commissions that lack the authority to place conditions or restrictions on mergers should be given that authority.</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xml:space="preserve">: Merger proceedings should be based on clearly-specified criteria that address costs, performance, and market power.  </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Heading1"/>
        <w:ind w:hanging="0" w:start="0"/>
        <w:rPr/>
      </w:pPr>
      <w:r>
        <w:rPr/>
        <w:t>Ownership</w:t>
      </w:r>
    </w:p>
    <w:p>
      <w:pPr>
        <w:pStyle w:val="Normal"/>
        <w:jc w:val="both"/>
        <w:rPr/>
      </w:pPr>
      <w:r>
        <w:rPr>
          <w:rFonts w:cs="Arial" w:ascii="Arial" w:hAnsi="Arial"/>
          <w:sz w:val="22"/>
          <w:u w:val="single"/>
        </w:rPr>
        <w:t>Recommendation</w:t>
      </w:r>
      <w:r>
        <w:rPr>
          <w:rFonts w:cs="Arial" w:ascii="Arial" w:hAnsi="Arial"/>
          <w:sz w:val="22"/>
        </w:rPr>
        <w:t xml:space="preserve">: The pockets of vertically-integrated public utilities need to be carefully examined for their competitive impacts.  Ultimately, the Forum sees the entire generation sector as fully competitive.  </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Publicly-owned utilities need to meet the same standards of open access that are imposed on investor-owned utilities.</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Technical standards should extend to all market participants to facilitate interconnection of generation, enhance the compatibility of load control devices and meters, and facilitate data exchange and communications.</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rPr/>
      </w:pPr>
      <w:r>
        <w:rPr/>
        <w:t>Aggregation</w:t>
      </w:r>
    </w:p>
    <w:p>
      <w:pPr>
        <w:pStyle w:val="Normal"/>
        <w:jc w:val="both"/>
        <w:rPr/>
      </w:pPr>
      <w:r>
        <w:rPr>
          <w:rFonts w:cs="Arial" w:ascii="Arial" w:hAnsi="Arial"/>
          <w:sz w:val="22"/>
          <w:u w:val="single"/>
        </w:rPr>
        <w:t>Recommendation</w:t>
      </w:r>
      <w:r>
        <w:rPr>
          <w:rFonts w:cs="Arial" w:ascii="Arial" w:hAnsi="Arial"/>
          <w:sz w:val="22"/>
        </w:rPr>
        <w:t>: Aggregation provides an alternative to direct retail customer contact with service providers and can reduce transaction costs and increase bargaining power for the customer.  This form of organization is consistent with increasing customer choice in a restructured energy market.</w:t>
      </w:r>
    </w:p>
    <w:p>
      <w:pPr>
        <w:pStyle w:val="Normal"/>
        <w:jc w:val="both"/>
        <w:rPr/>
      </w:pPr>
      <w:r>
        <w:rPr>
          <w:rFonts w:cs="Arial" w:ascii="Arial" w:hAnsi="Arial"/>
          <w:sz w:val="22"/>
          <w:u w:val="single"/>
        </w:rPr>
        <w:t>Impact on Competition</w:t>
      </w:r>
      <w:r>
        <w:rPr>
          <w:rFonts w:cs="Arial" w:ascii="Arial" w:hAnsi="Arial"/>
          <w:sz w:val="22"/>
        </w:rPr>
        <w:t xml:space="preserve">: Positive.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u w:val="single"/>
        </w:rPr>
        <w:t>Recommendation</w:t>
      </w:r>
      <w:r>
        <w:rPr>
          <w:rFonts w:cs="Arial" w:ascii="Arial" w:hAnsi="Arial"/>
          <w:sz w:val="22"/>
        </w:rPr>
        <w:t>: If municipal aggregation includes an "opt-in provision" (where the retail customer must make an effort to join) then careful attention must be given to achieving economies of scale and scope to have a viable program. If they include an "opt-out provision" (where the retail customer must make an effort to leave) then the Forum is concerned about the ability of competitors to enter the market.</w:t>
      </w:r>
    </w:p>
    <w:p>
      <w:pPr>
        <w:pStyle w:val="Normal"/>
        <w:jc w:val="both"/>
        <w:rPr/>
      </w:pPr>
      <w:r>
        <w:rPr>
          <w:rFonts w:cs="Arial" w:ascii="Arial" w:hAnsi="Arial"/>
          <w:sz w:val="22"/>
          <w:u w:val="single"/>
        </w:rPr>
        <w:t>Impact on Competition</w:t>
      </w:r>
      <w:r>
        <w:rPr>
          <w:rFonts w:cs="Arial" w:ascii="Arial" w:hAnsi="Arial"/>
          <w:sz w:val="22"/>
        </w:rPr>
        <w:t>: Positive.</w:t>
      </w:r>
    </w:p>
    <w:p>
      <w:pPr>
        <w:pStyle w:val="Normal"/>
        <w:jc w:val="both"/>
        <w:rPr>
          <w:rFonts w:ascii="Arial" w:hAnsi="Arial" w:cs="Arial"/>
          <w:sz w:val="22"/>
        </w:rPr>
      </w:pPr>
      <w:r>
        <w:rPr>
          <w:rFonts w:cs="Arial" w:ascii="Arial" w:hAnsi="Arial"/>
          <w:sz w:val="22"/>
        </w:rPr>
      </w:r>
    </w:p>
    <w:p>
      <w:pPr>
        <w:pStyle w:val="Heading1"/>
        <w:ind w:hanging="0" w:start="0"/>
        <w:rPr/>
      </w:pPr>
      <w:r>
        <w:rPr/>
        <w:t>Competition in Delivery Functions</w:t>
      </w:r>
    </w:p>
    <w:p>
      <w:pPr>
        <w:pStyle w:val="Normal"/>
        <w:jc w:val="both"/>
        <w:rPr/>
      </w:pPr>
      <w:r>
        <w:rPr>
          <w:rFonts w:cs="Arial" w:ascii="Arial" w:hAnsi="Arial"/>
          <w:sz w:val="22"/>
          <w:u w:val="single"/>
        </w:rPr>
        <w:t>Recommendation</w:t>
      </w:r>
      <w:r>
        <w:rPr>
          <w:rFonts w:cs="Arial" w:ascii="Arial" w:hAnsi="Arial"/>
          <w:sz w:val="22"/>
        </w:rPr>
        <w:t>: While it is apparent to the Forum that distribution utilities will remain regulated for the foreseeable future, the Forum believes that regulators should be open to the idea that new technologies will permit changes in this assumption in the future.</w:t>
      </w:r>
    </w:p>
    <w:p>
      <w:pPr>
        <w:pStyle w:val="Normal"/>
        <w:jc w:val="both"/>
        <w:rPr/>
      </w:pPr>
      <w:r>
        <w:rPr>
          <w:rFonts w:cs="Arial" w:ascii="Arial" w:hAnsi="Arial"/>
          <w:sz w:val="22"/>
          <w:u w:val="single"/>
        </w:rPr>
        <w:t>Impact on Competition</w:t>
      </w:r>
      <w:r>
        <w:rPr>
          <w:rFonts w:cs="Arial" w:ascii="Arial" w:hAnsi="Arial"/>
          <w:sz w:val="22"/>
        </w:rPr>
        <w:t xml:space="preserve">: This sounds like a window to go to a German style regulation, where nothing is regulated and open access is jeopardized. Seems attractive but it can be dangerous. </w:t>
      </w:r>
    </w:p>
    <w:p>
      <w:pPr>
        <w:pStyle w:val="Normal"/>
        <w:jc w:val="both"/>
        <w:rPr>
          <w:rFonts w:ascii="Arial" w:hAnsi="Arial" w:cs="Arial"/>
          <w:sz w:val="22"/>
        </w:rPr>
      </w:pPr>
      <w:r>
        <w:rPr>
          <w:rFonts w:cs="Arial" w:ascii="Arial" w:hAnsi="Arial"/>
          <w:sz w:val="22"/>
        </w:rPr>
      </w:r>
    </w:p>
    <w:p>
      <w:pPr>
        <w:pStyle w:val="Heading1"/>
        <w:ind w:hanging="0" w:start="0"/>
        <w:rPr/>
      </w:pPr>
      <w:r>
        <w:rPr/>
        <w:t xml:space="preserve">Performance-Based Regulation </w:t>
      </w:r>
    </w:p>
    <w:p>
      <w:pPr>
        <w:pStyle w:val="Normal"/>
        <w:jc w:val="both"/>
        <w:rPr/>
      </w:pPr>
      <w:r>
        <w:rPr>
          <w:rFonts w:cs="Arial" w:ascii="Arial" w:hAnsi="Arial"/>
          <w:sz w:val="22"/>
          <w:u w:val="single"/>
        </w:rPr>
        <w:t>Recommendation</w:t>
      </w:r>
      <w:r>
        <w:rPr>
          <w:rFonts w:cs="Arial" w:ascii="Arial" w:hAnsi="Arial"/>
          <w:sz w:val="22"/>
        </w:rPr>
        <w:t xml:space="preserve">: Performance-based regulation (PBR) approaches are conceptually sound, but PBR is fraught with complexities and controversy surrounding past implementation.  Regulatory commissions could explore PBR mechanisms, but they should exercise caution to avoid the errors of the past. </w:t>
      </w:r>
    </w:p>
    <w:p>
      <w:pPr>
        <w:pStyle w:val="Normal"/>
        <w:jc w:val="both"/>
        <w:rPr/>
      </w:pPr>
      <w:r>
        <w:rPr>
          <w:rFonts w:cs="Arial" w:ascii="Arial" w:hAnsi="Arial"/>
          <w:sz w:val="22"/>
          <w:u w:val="single"/>
        </w:rPr>
        <w:t>Impact on Competition</w:t>
      </w:r>
      <w:r>
        <w:rPr>
          <w:rFonts w:cs="Arial" w:ascii="Arial" w:hAnsi="Arial"/>
          <w:sz w:val="22"/>
        </w:rPr>
        <w:t>: You can have (or lack of) competition with both PBR or Rate of Return regulation. In both cases it is critical to make the LDC neutral to competition (customer choosing an alternative supplier).</w:t>
      </w:r>
    </w:p>
    <w:p>
      <w:pPr>
        <w:pStyle w:val="Normal"/>
        <w:jc w:val="both"/>
        <w:rPr>
          <w:rFonts w:ascii="Arial" w:hAnsi="Arial" w:cs="Arial"/>
          <w:sz w:val="22"/>
        </w:rPr>
      </w:pPr>
      <w:r>
        <w:rPr>
          <w:rFonts w:cs="Arial" w:ascii="Arial" w:hAnsi="Arial"/>
          <w:sz w:val="22"/>
        </w:rPr>
      </w:r>
    </w:p>
    <w:p>
      <w:pPr>
        <w:pStyle w:val="Heading1"/>
        <w:ind w:hanging="0" w:start="0"/>
        <w:rPr/>
      </w:pPr>
      <w:r>
        <w:rPr/>
        <w:t>Government Restructuring</w:t>
      </w:r>
    </w:p>
    <w:p>
      <w:pPr>
        <w:pStyle w:val="Normal"/>
        <w:jc w:val="both"/>
        <w:rPr/>
      </w:pPr>
      <w:r>
        <w:rPr>
          <w:rFonts w:cs="Arial" w:ascii="Arial" w:hAnsi="Arial"/>
          <w:sz w:val="22"/>
          <w:u w:val="single"/>
        </w:rPr>
        <w:t>Recommendations</w:t>
      </w:r>
      <w:r>
        <w:rPr>
          <w:rFonts w:cs="Arial" w:ascii="Arial" w:hAnsi="Arial"/>
          <w:sz w:val="22"/>
        </w:rPr>
        <w:t xml:space="preserve">: </w:t>
      </w:r>
    </w:p>
    <w:p>
      <w:pPr>
        <w:pStyle w:val="Normal"/>
        <w:numPr>
          <w:ilvl w:val="0"/>
          <w:numId w:val="3"/>
        </w:numPr>
        <w:jc w:val="both"/>
        <w:rPr>
          <w:rFonts w:ascii="Arial" w:hAnsi="Arial" w:cs="Arial"/>
          <w:sz w:val="22"/>
        </w:rPr>
      </w:pPr>
      <w:r>
        <w:rPr>
          <w:rFonts w:cs="Arial" w:ascii="Arial" w:hAnsi="Arial"/>
          <w:sz w:val="22"/>
        </w:rPr>
        <w:t>There is a need for universally-applicable, cross-jurisdictional decisions on topics that affect multiple jurisdictions.  Federal and state legislators and regulators need to consider creative ways to restructure government to meet these goals.</w:t>
      </w:r>
    </w:p>
    <w:p>
      <w:pPr>
        <w:pStyle w:val="Normal"/>
        <w:numPr>
          <w:ilvl w:val="0"/>
          <w:numId w:val="3"/>
        </w:numPr>
        <w:jc w:val="both"/>
        <w:rPr>
          <w:rFonts w:ascii="Arial" w:hAnsi="Arial" w:cs="Arial"/>
          <w:sz w:val="22"/>
        </w:rPr>
      </w:pPr>
      <w:r>
        <w:rPr>
          <w:rFonts w:cs="Arial" w:ascii="Arial" w:hAnsi="Arial"/>
          <w:sz w:val="22"/>
        </w:rPr>
        <w:t>In order to enhance state participation in major transmission line siting cases, the state role should be elevated from "participant" to one of "standing" (a position alongside the decision maker).</w:t>
      </w:r>
    </w:p>
    <w:p>
      <w:pPr>
        <w:pStyle w:val="Normal"/>
        <w:numPr>
          <w:ilvl w:val="0"/>
          <w:numId w:val="3"/>
        </w:numPr>
        <w:jc w:val="both"/>
        <w:rPr>
          <w:rFonts w:ascii="Arial" w:hAnsi="Arial" w:cs="Arial"/>
          <w:sz w:val="22"/>
        </w:rPr>
      </w:pPr>
      <w:r>
        <w:rPr>
          <w:rFonts w:cs="Arial" w:ascii="Arial" w:hAnsi="Arial"/>
          <w:sz w:val="22"/>
        </w:rPr>
        <w:t>Consideration should be given to the creation of "transmission line authorities" modeled on existing "transportation authorities" (port authority; metro authority).</w:t>
      </w:r>
    </w:p>
    <w:p>
      <w:pPr>
        <w:pStyle w:val="Normal"/>
        <w:numPr>
          <w:ilvl w:val="0"/>
          <w:numId w:val="3"/>
        </w:numPr>
        <w:jc w:val="both"/>
        <w:rPr>
          <w:rFonts w:ascii="Arial" w:hAnsi="Arial" w:cs="Arial"/>
          <w:sz w:val="22"/>
        </w:rPr>
      </w:pPr>
      <w:r>
        <w:rPr>
          <w:rFonts w:cs="Arial" w:ascii="Arial" w:hAnsi="Arial"/>
          <w:sz w:val="22"/>
        </w:rPr>
        <w:t xml:space="preserve">Regional regulatory organizations should have jurisdiction and legal standing to address appropriate regional issues.  </w:t>
      </w:r>
    </w:p>
    <w:p>
      <w:pPr>
        <w:pStyle w:val="Normal"/>
        <w:numPr>
          <w:ilvl w:val="0"/>
          <w:numId w:val="3"/>
        </w:numPr>
        <w:jc w:val="both"/>
        <w:rPr>
          <w:rFonts w:ascii="Arial" w:hAnsi="Arial" w:cs="Arial"/>
          <w:sz w:val="22"/>
        </w:rPr>
      </w:pPr>
      <w:r>
        <w:rPr>
          <w:rFonts w:cs="Arial" w:ascii="Arial" w:hAnsi="Arial"/>
          <w:sz w:val="22"/>
        </w:rPr>
        <w:t>The budgets of state commissions should be increased while restructuring is considered to allow for more interaction with other jurisdictions.</w:t>
      </w:r>
    </w:p>
    <w:p>
      <w:pPr>
        <w:pStyle w:val="Normal"/>
        <w:jc w:val="both"/>
        <w:rPr/>
      </w:pPr>
      <w:r>
        <w:rPr>
          <w:rFonts w:cs="Arial" w:ascii="Arial" w:hAnsi="Arial"/>
          <w:sz w:val="22"/>
          <w:u w:val="single"/>
        </w:rPr>
        <w:t>Impact</w:t>
      </w:r>
      <w:r>
        <w:rPr>
          <w:rFonts w:cs="Arial" w:ascii="Arial" w:hAnsi="Arial"/>
          <w:sz w:val="22"/>
        </w:rPr>
        <w:t xml:space="preserve">: I wonder if these new multi-jurisdictional agencies will be just more bureaucracy. I also have concerns regarding an enhanced participation of states in the transmission line siting decision process. </w:t>
      </w:r>
    </w:p>
    <w:p>
      <w:pPr>
        <w:pStyle w:val="Normal"/>
        <w:jc w:val="both"/>
        <w:rPr>
          <w:rFonts w:ascii="Arial" w:hAnsi="Arial" w:cs="Arial"/>
          <w:sz w:val="22"/>
        </w:rPr>
      </w:pPr>
      <w:r>
        <w:rPr>
          <w:rFonts w:cs="Arial" w:ascii="Arial" w:hAnsi="Arial"/>
          <w:sz w:val="22"/>
        </w:rPr>
      </w:r>
    </w:p>
    <w:p>
      <w:pPr>
        <w:pStyle w:val="Heading1"/>
        <w:ind w:hanging="0" w:start="0"/>
        <w:rPr/>
      </w:pPr>
      <w:r>
        <w:rPr/>
        <w:t>Market Access</w:t>
      </w:r>
    </w:p>
    <w:p>
      <w:pPr>
        <w:pStyle w:val="Normal"/>
        <w:jc w:val="both"/>
        <w:rPr/>
      </w:pPr>
      <w:r>
        <w:rPr>
          <w:rFonts w:cs="Arial" w:ascii="Arial" w:hAnsi="Arial"/>
          <w:sz w:val="22"/>
          <w:u w:val="single"/>
        </w:rPr>
        <w:t>Recommendation</w:t>
      </w:r>
      <w:r>
        <w:rPr>
          <w:rFonts w:cs="Arial" w:ascii="Arial" w:hAnsi="Arial"/>
          <w:sz w:val="22"/>
        </w:rPr>
        <w:t>: Technical barriers to the interconnection of distributed generation should be eliminated and standard business practices should be adopted to facilitate the interconnection of on-site power.</w:t>
      </w:r>
    </w:p>
    <w:p>
      <w:pPr>
        <w:pStyle w:val="BodyText2"/>
        <w:rPr/>
      </w:pPr>
      <w:r>
        <w:rPr>
          <w:u w:val="single"/>
        </w:rPr>
        <w:t>Impact on Competition</w:t>
      </w:r>
      <w:r>
        <w:rPr/>
        <w:t>: Positive.</w:t>
      </w:r>
    </w:p>
    <w:p>
      <w:pPr>
        <w:pStyle w:val="BodyText2"/>
        <w:rPr/>
      </w:pPr>
      <w:r>
        <w:rPr/>
      </w:r>
    </w:p>
    <w:p>
      <w:pPr>
        <w:pStyle w:val="Normal"/>
        <w:jc w:val="both"/>
        <w:rPr/>
      </w:pPr>
      <w:r>
        <w:rPr>
          <w:rFonts w:cs="Arial" w:ascii="Arial" w:hAnsi="Arial"/>
          <w:sz w:val="22"/>
          <w:u w:val="single"/>
        </w:rPr>
        <w:t>Recommendation</w:t>
      </w:r>
      <w:r>
        <w:rPr>
          <w:rFonts w:cs="Arial" w:ascii="Arial" w:hAnsi="Arial"/>
          <w:sz w:val="22"/>
        </w:rPr>
        <w:t>: Technical barriers to the application of customer demand-responsiveness should be eliminated and standard protocols should be developed that allow customers to provide value when system costs are high.</w:t>
      </w:r>
    </w:p>
    <w:p>
      <w:pPr>
        <w:pStyle w:val="BodyText2"/>
        <w:rPr/>
      </w:pPr>
      <w:r>
        <w:rPr>
          <w:u w:val="single"/>
        </w:rPr>
        <w:t>Impact on Competition</w:t>
      </w:r>
      <w:r>
        <w:rPr/>
        <w:t>: Positive.</w:t>
      </w:r>
    </w:p>
    <w:p>
      <w:pPr>
        <w:pStyle w:val="BodyText2"/>
        <w:rPr/>
      </w:pPr>
      <w:r>
        <w:rPr/>
      </w:r>
    </w:p>
    <w:p>
      <w:pPr>
        <w:pStyle w:val="BodyText2"/>
        <w:rPr/>
      </w:pPr>
      <w:r>
        <w:rPr/>
      </w:r>
    </w:p>
    <w:p>
      <w:pPr>
        <w:pStyle w:val="Heading1"/>
        <w:ind w:hanging="0" w:start="0"/>
        <w:rPr/>
      </w:pPr>
      <w:r>
        <w:rPr/>
        <w:t xml:space="preserve">Unbundled Billing and Metering </w:t>
      </w:r>
    </w:p>
    <w:p>
      <w:pPr>
        <w:pStyle w:val="Normal"/>
        <w:jc w:val="both"/>
        <w:rPr/>
      </w:pPr>
      <w:r>
        <w:rPr>
          <w:rFonts w:cs="Arial" w:ascii="Arial" w:hAnsi="Arial"/>
          <w:sz w:val="22"/>
          <w:u w:val="single"/>
        </w:rPr>
        <w:t>Recommendations</w:t>
      </w:r>
      <w:r>
        <w:rPr>
          <w:rFonts w:cs="Arial" w:ascii="Arial" w:hAnsi="Arial"/>
          <w:sz w:val="22"/>
        </w:rPr>
        <w:t xml:space="preserve">: </w:t>
      </w:r>
    </w:p>
    <w:p>
      <w:pPr>
        <w:pStyle w:val="Normal"/>
        <w:numPr>
          <w:ilvl w:val="0"/>
          <w:numId w:val="2"/>
        </w:numPr>
        <w:jc w:val="both"/>
        <w:rPr>
          <w:rFonts w:ascii="Arial" w:hAnsi="Arial" w:cs="Arial"/>
          <w:sz w:val="22"/>
        </w:rPr>
      </w:pPr>
      <w:r>
        <w:rPr>
          <w:rFonts w:cs="Arial" w:ascii="Arial" w:hAnsi="Arial"/>
          <w:sz w:val="22"/>
        </w:rPr>
        <w:t xml:space="preserve">Metering service and billing services should be considered separate functions. </w:t>
      </w:r>
    </w:p>
    <w:p>
      <w:pPr>
        <w:pStyle w:val="Normal"/>
        <w:numPr>
          <w:ilvl w:val="0"/>
          <w:numId w:val="2"/>
        </w:numPr>
        <w:jc w:val="both"/>
        <w:rPr>
          <w:rFonts w:ascii="Arial" w:hAnsi="Arial" w:cs="Arial"/>
          <w:sz w:val="22"/>
        </w:rPr>
      </w:pPr>
      <w:r>
        <w:rPr>
          <w:rFonts w:cs="Arial" w:ascii="Arial" w:hAnsi="Arial"/>
          <w:sz w:val="22"/>
        </w:rPr>
        <w:t>Regulators should encourage the installation of advanced meters and encourage time-of-use and real-time pricing.</w:t>
      </w:r>
    </w:p>
    <w:p>
      <w:pPr>
        <w:pStyle w:val="Normal"/>
        <w:numPr>
          <w:ilvl w:val="0"/>
          <w:numId w:val="2"/>
        </w:numPr>
        <w:jc w:val="both"/>
        <w:rPr>
          <w:rFonts w:ascii="Arial" w:hAnsi="Arial" w:cs="Arial"/>
          <w:sz w:val="22"/>
        </w:rPr>
      </w:pPr>
      <w:r>
        <w:rPr>
          <w:rFonts w:cs="Arial" w:ascii="Arial" w:hAnsi="Arial"/>
          <w:sz w:val="22"/>
        </w:rPr>
        <w:t>Customers and energy service providers should be allowed to read or upgrade the meter.</w:t>
      </w:r>
    </w:p>
    <w:p>
      <w:pPr>
        <w:pStyle w:val="Normal"/>
        <w:numPr>
          <w:ilvl w:val="0"/>
          <w:numId w:val="2"/>
        </w:numPr>
        <w:jc w:val="both"/>
        <w:rPr>
          <w:rFonts w:ascii="Arial" w:hAnsi="Arial" w:cs="Arial"/>
          <w:sz w:val="22"/>
        </w:rPr>
      </w:pPr>
      <w:r>
        <w:rPr>
          <w:rFonts w:cs="Arial" w:ascii="Arial" w:hAnsi="Arial"/>
          <w:sz w:val="22"/>
        </w:rPr>
        <w:t>Metering services could be competitive; however, the primary near-term issue relates to access to metered data.</w:t>
      </w:r>
    </w:p>
    <w:p>
      <w:pPr>
        <w:pStyle w:val="Normal"/>
        <w:numPr>
          <w:ilvl w:val="0"/>
          <w:numId w:val="2"/>
        </w:numPr>
        <w:jc w:val="both"/>
        <w:rPr>
          <w:rFonts w:ascii="Arial" w:hAnsi="Arial" w:cs="Arial"/>
          <w:sz w:val="22"/>
        </w:rPr>
      </w:pPr>
      <w:r>
        <w:rPr>
          <w:rFonts w:cs="Arial" w:ascii="Arial" w:hAnsi="Arial"/>
          <w:sz w:val="22"/>
        </w:rPr>
        <w:t xml:space="preserve">Billing should be treated as a competitive service. </w:t>
      </w:r>
    </w:p>
    <w:p>
      <w:pPr>
        <w:pStyle w:val="Normal"/>
        <w:numPr>
          <w:ilvl w:val="0"/>
          <w:numId w:val="2"/>
        </w:numPr>
        <w:jc w:val="both"/>
        <w:rPr>
          <w:rFonts w:ascii="Arial" w:hAnsi="Arial" w:cs="Arial"/>
          <w:sz w:val="22"/>
        </w:rPr>
      </w:pPr>
      <w:r>
        <w:rPr>
          <w:rFonts w:cs="Arial" w:ascii="Arial" w:hAnsi="Arial"/>
          <w:sz w:val="22"/>
        </w:rPr>
        <w:t>Regulators should not impose a bill format on retail energy providers.  Customers need accurate information, but the bill is not their only source of information.  A mandatory information sheet could be provided occasionally or upon request.</w:t>
      </w:r>
    </w:p>
    <w:p>
      <w:pPr>
        <w:pStyle w:val="BodyText2"/>
        <w:rPr/>
      </w:pPr>
      <w:r>
        <w:rPr>
          <w:u w:val="single"/>
        </w:rPr>
        <w:t>Impact on Competition</w:t>
      </w:r>
      <w:r>
        <w:rPr/>
        <w:t>: Positive.</w:t>
      </w:r>
    </w:p>
    <w:p>
      <w:pPr>
        <w:pStyle w:val="Normal"/>
        <w:jc w:val="both"/>
        <w:rPr>
          <w:rFonts w:ascii="Arial" w:hAnsi="Arial" w:cs="Arial"/>
          <w:sz w:val="22"/>
          <w:u w:val="single"/>
        </w:rPr>
      </w:pPr>
      <w:r>
        <w:rPr>
          <w:rFonts w:cs="Arial" w:ascii="Arial" w:hAnsi="Arial"/>
          <w:sz w:val="22"/>
          <w:u w:val="single"/>
        </w:rPr>
      </w:r>
    </w:p>
    <w:p>
      <w:pPr>
        <w:pStyle w:val="Heading1"/>
        <w:ind w:hanging="0" w:start="0"/>
        <w:rPr/>
      </w:pPr>
      <w:r>
        <w:rPr/>
        <w:t>Restrictions and Prohibitions - competitive energy services</w:t>
      </w:r>
    </w:p>
    <w:p>
      <w:pPr>
        <w:pStyle w:val="Normal"/>
        <w:jc w:val="both"/>
        <w:rPr/>
      </w:pPr>
      <w:r>
        <w:rPr>
          <w:rFonts w:cs="Arial" w:ascii="Arial" w:hAnsi="Arial"/>
          <w:sz w:val="22"/>
          <w:u w:val="single"/>
        </w:rPr>
        <w:t>Recommendation</w:t>
      </w:r>
      <w:r>
        <w:rPr>
          <w:rFonts w:cs="Arial" w:ascii="Arial" w:hAnsi="Arial"/>
          <w:sz w:val="22"/>
        </w:rPr>
        <w:t xml:space="preserve">: Most traditional utilities provide one or several of a set of "competitive energy services" and these services are distinct from the commonly identified energy services: generation, transmission, distribution, and retail power supply. </w:t>
      </w:r>
    </w:p>
    <w:p>
      <w:pPr>
        <w:pStyle w:val="Normal"/>
        <w:jc w:val="both"/>
        <w:rPr>
          <w:rFonts w:ascii="Arial" w:hAnsi="Arial" w:cs="Arial"/>
          <w:sz w:val="22"/>
        </w:rPr>
      </w:pPr>
      <w:r>
        <w:rPr>
          <w:rFonts w:cs="Arial" w:ascii="Arial" w:hAnsi="Arial"/>
          <w:sz w:val="22"/>
        </w:rPr>
        <w:t xml:space="preserve">Each energy service has unique characteristics, and each regulatory commission must decide how best to provide that service.  The policy options are: Whether to exclude the utility or the utility affiliate; Whether the services should be provided in a traditional regulated manner; Whether to place restrictions on the utility or utility affiliates; Whether to place restrictions for a period of time; whether to require a separation between regulated and unregulated functions.  Regulators should review the policy options and determine which is best for their jurisdictions. </w:t>
      </w:r>
    </w:p>
    <w:p>
      <w:pPr>
        <w:pStyle w:val="BodyText2"/>
        <w:rPr/>
      </w:pPr>
      <w:r>
        <w:rPr>
          <w:u w:val="single"/>
        </w:rPr>
        <w:t>Impact on Competition</w:t>
      </w:r>
      <w:r>
        <w:rPr/>
        <w:t xml:space="preserve">: </w:t>
      </w:r>
      <w:r>
        <w:rPr>
          <w:u w:val="single"/>
        </w:rPr>
        <w:t>Negative</w:t>
      </w:r>
      <w:r>
        <w:rPr/>
        <w:t>. He opens all possibilities. I think the presence of the utility can ruin the “competitive services” markets or use those services to leverage its competitiveness in the core energy services. In general, I prefer to prohibit participation by the utility and limit (market share cap) participation by the utility affiliate in the utility’s territory for both core and non core services.</w:t>
      </w:r>
    </w:p>
    <w:p>
      <w:pPr>
        <w:pStyle w:val="BodyText2"/>
        <w:rPr/>
      </w:pPr>
      <w:r>
        <w:rPr/>
      </w:r>
    </w:p>
    <w:p>
      <w:pPr>
        <w:pStyle w:val="BodyText2"/>
        <w:rPr>
          <w:b/>
          <w:bCs/>
        </w:rPr>
      </w:pPr>
      <w:r>
        <w:rPr>
          <w:b/>
          <w:bCs/>
        </w:rPr>
        <w:t xml:space="preserve">Unbundling </w:t>
      </w:r>
    </w:p>
    <w:p>
      <w:pPr>
        <w:pStyle w:val="BodyText2"/>
        <w:rPr/>
      </w:pPr>
      <w:r>
        <w:rPr>
          <w:u w:val="single"/>
        </w:rPr>
        <w:t>Recommendation</w:t>
      </w:r>
      <w:r>
        <w:rPr/>
        <w:t>: The most extreme form of unbundling is divestiture.  Concerns over market power lead to a conclusion that functional or structural unbundling is necessary.  Concerns over the loss of economies of scale argue for the status quo.</w:t>
      </w:r>
    </w:p>
    <w:p>
      <w:pPr>
        <w:pStyle w:val="BodyText2"/>
        <w:rPr/>
      </w:pPr>
      <w:r>
        <w:rPr>
          <w:u w:val="single"/>
        </w:rPr>
        <w:t>Impact on Competition</w:t>
      </w:r>
      <w:r>
        <w:rPr/>
        <w:t xml:space="preserve">: </w:t>
      </w:r>
      <w:r>
        <w:rPr>
          <w:u w:val="single"/>
        </w:rPr>
        <w:t>Negative</w:t>
      </w:r>
      <w:r>
        <w:rPr/>
        <w:t>. He opens too many possibilities and discards the best. I believe in divestiture and the need of a market share caps for the utility affiliate.</w:t>
      </w:r>
    </w:p>
    <w:p>
      <w:pPr>
        <w:pStyle w:val="BodyText2"/>
        <w:rPr/>
      </w:pPr>
      <w:r>
        <w:rPr/>
      </w:r>
    </w:p>
    <w:p>
      <w:pPr>
        <w:pStyle w:val="Heading1"/>
        <w:ind w:hanging="0" w:start="0"/>
        <w:rPr/>
      </w:pPr>
      <w:r>
        <w:rPr/>
        <w:t>Disclosure standards for retail electric service providers</w:t>
      </w:r>
    </w:p>
    <w:p>
      <w:pPr>
        <w:pStyle w:val="Normal"/>
        <w:jc w:val="both"/>
        <w:rPr/>
      </w:pPr>
      <w:r>
        <w:rPr>
          <w:rFonts w:cs="Arial" w:ascii="Arial" w:hAnsi="Arial"/>
          <w:sz w:val="22"/>
          <w:u w:val="single"/>
        </w:rPr>
        <w:t>Recommendation</w:t>
      </w:r>
      <w:r>
        <w:rPr>
          <w:rFonts w:cs="Arial" w:ascii="Arial" w:hAnsi="Arial"/>
          <w:sz w:val="22"/>
        </w:rPr>
        <w:t>: Require a standard form ("consumer label") on pricing and terms and conditions of service that are provided to customers upon request.</w:t>
      </w:r>
    </w:p>
    <w:p>
      <w:pPr>
        <w:pStyle w:val="BodyText2"/>
        <w:rPr/>
      </w:pPr>
      <w:r>
        <w:rPr>
          <w:u w:val="single"/>
        </w:rPr>
        <w:t>Impact on Competition</w:t>
      </w:r>
      <w:r>
        <w:rPr/>
        <w:t>: It is a burden on retail electric service providers, but may be viewed as a necessary customer protection</w:t>
      </w:r>
    </w:p>
    <w:p>
      <w:pPr>
        <w:pStyle w:val="BodyText2"/>
        <w:rPr/>
      </w:pPr>
      <w:r>
        <w:rPr/>
      </w:r>
    </w:p>
    <w:p>
      <w:pPr>
        <w:pStyle w:val="Normal"/>
        <w:jc w:val="both"/>
        <w:rPr>
          <w:rFonts w:ascii="Arial" w:hAnsi="Arial" w:cs="Arial"/>
          <w:b/>
          <w:bCs/>
          <w:sz w:val="22"/>
        </w:rPr>
      </w:pPr>
      <w:r>
        <w:rPr>
          <w:rFonts w:cs="Arial" w:ascii="Arial" w:hAnsi="Arial"/>
          <w:b/>
          <w:bCs/>
          <w:sz w:val="22"/>
        </w:rPr>
        <w:t>Default service and provider of last resort (POLR)</w:t>
      </w:r>
    </w:p>
    <w:p>
      <w:pPr>
        <w:pStyle w:val="Normal"/>
        <w:jc w:val="both"/>
        <w:rPr/>
      </w:pPr>
      <w:r>
        <w:rPr>
          <w:rFonts w:cs="Arial" w:ascii="Arial" w:hAnsi="Arial"/>
          <w:sz w:val="22"/>
          <w:u w:val="single"/>
        </w:rPr>
        <w:t>Recommendation</w:t>
      </w:r>
      <w:r>
        <w:rPr>
          <w:rFonts w:cs="Arial" w:ascii="Arial" w:hAnsi="Arial"/>
          <w:sz w:val="22"/>
        </w:rPr>
        <w:t>: Regulators should recognize the competitive implications of the decision to make the incumbent utility the default service provider.  Regulators should work toward minimizing the competitive impacts.</w:t>
      </w:r>
    </w:p>
    <w:p>
      <w:pPr>
        <w:pStyle w:val="BodyText2"/>
        <w:rPr/>
      </w:pPr>
      <w:r>
        <w:rPr>
          <w:u w:val="single"/>
        </w:rPr>
        <w:t>Impact on Competition</w:t>
      </w:r>
      <w:r>
        <w:rPr/>
        <w:t>: Positive.</w:t>
      </w:r>
    </w:p>
    <w:p>
      <w:pPr>
        <w:pStyle w:val="BodyText2"/>
        <w:rPr/>
      </w:pPr>
      <w:r>
        <w:rPr/>
      </w:r>
    </w:p>
    <w:p>
      <w:pPr>
        <w:pStyle w:val="Heading1"/>
        <w:ind w:hanging="0" w:start="0"/>
        <w:rPr/>
      </w:pPr>
      <w:r>
        <w:rPr/>
        <w:t>Universal service and low-income programs</w:t>
      </w:r>
    </w:p>
    <w:p>
      <w:pPr>
        <w:pStyle w:val="Normal"/>
        <w:jc w:val="both"/>
        <w:rPr/>
      </w:pPr>
      <w:r>
        <w:rPr>
          <w:rFonts w:cs="Arial" w:ascii="Arial" w:hAnsi="Arial"/>
          <w:sz w:val="22"/>
          <w:u w:val="single"/>
        </w:rPr>
        <w:t>Recommendations</w:t>
      </w:r>
      <w:r>
        <w:rPr>
          <w:rFonts w:cs="Arial" w:ascii="Arial" w:hAnsi="Arial"/>
          <w:sz w:val="22"/>
        </w:rPr>
        <w:t xml:space="preserve">: </w:t>
      </w:r>
    </w:p>
    <w:p>
      <w:pPr>
        <w:pStyle w:val="Normal"/>
        <w:jc w:val="both"/>
        <w:rPr>
          <w:rFonts w:ascii="Arial" w:hAnsi="Arial" w:cs="Arial"/>
          <w:sz w:val="22"/>
        </w:rPr>
      </w:pPr>
      <w:r>
        <w:rPr>
          <w:rFonts w:cs="Arial" w:ascii="Arial" w:hAnsi="Arial"/>
          <w:sz w:val="22"/>
        </w:rPr>
        <w:t>Regulators should consider that access to a minimum level of energy services is a separate question from where the money for basic service should come from.</w:t>
      </w:r>
    </w:p>
    <w:p>
      <w:pPr>
        <w:pStyle w:val="Normal"/>
        <w:jc w:val="both"/>
        <w:rPr>
          <w:rFonts w:ascii="Arial" w:hAnsi="Arial" w:cs="Arial"/>
          <w:sz w:val="22"/>
        </w:rPr>
      </w:pPr>
      <w:r>
        <w:rPr>
          <w:rFonts w:cs="Arial" w:ascii="Arial" w:hAnsi="Arial"/>
          <w:sz w:val="22"/>
        </w:rPr>
        <w:t>Policy decisions and any subsidies to provide universal services to low-income customers should be explicit.</w:t>
      </w:r>
    </w:p>
    <w:p>
      <w:pPr>
        <w:pStyle w:val="BodyText2"/>
        <w:rPr/>
      </w:pPr>
      <w:r>
        <w:rPr>
          <w:u w:val="single"/>
        </w:rPr>
        <w:t>Impact on Competition</w:t>
      </w:r>
      <w:r>
        <w:rPr/>
        <w:t>: Subsidies must be explicit and properly allocated to prevent damage on competition.</w:t>
      </w:r>
    </w:p>
    <w:p>
      <w:pPr>
        <w:pStyle w:val="BodyText2"/>
        <w:rPr/>
      </w:pPr>
      <w:r>
        <w:rPr/>
      </w:r>
    </w:p>
    <w:p>
      <w:pPr>
        <w:pStyle w:val="Heading1"/>
        <w:ind w:hanging="0" w:start="0"/>
        <w:rPr/>
      </w:pPr>
      <w:r>
        <w:rPr/>
        <w:t>Standards for retail service providers</w:t>
      </w:r>
    </w:p>
    <w:p>
      <w:pPr>
        <w:pStyle w:val="Normal"/>
        <w:jc w:val="both"/>
        <w:rPr/>
      </w:pPr>
      <w:r>
        <w:rPr>
          <w:rFonts w:cs="Arial" w:ascii="Arial" w:hAnsi="Arial"/>
          <w:sz w:val="22"/>
          <w:u w:val="single"/>
        </w:rPr>
        <w:t>Recommendation</w:t>
      </w:r>
      <w:r>
        <w:rPr>
          <w:rFonts w:cs="Arial" w:ascii="Arial" w:hAnsi="Arial"/>
          <w:sz w:val="22"/>
        </w:rPr>
        <w:t>: Regulators should apply a set of uniform business practices to the energy service providers. Regulations must consider (1) a customer application for credit, (2) the bill format, (3) the terms for bill payment, (4) regulations relating to unfair and deceptive practices, (5) telemarketing and "do not call provisions," and (6) contract terms of service.</w:t>
      </w:r>
    </w:p>
    <w:p>
      <w:pPr>
        <w:pStyle w:val="BodyText2"/>
        <w:rPr/>
      </w:pPr>
      <w:r>
        <w:rPr>
          <w:u w:val="single"/>
        </w:rPr>
        <w:t>Impact on Competition</w:t>
      </w:r>
      <w:r>
        <w:rPr/>
        <w:t xml:space="preserve">: </w:t>
      </w:r>
      <w:r>
        <w:rPr>
          <w:u w:val="single"/>
        </w:rPr>
        <w:t>Very dangerous</w:t>
      </w:r>
      <w:r>
        <w:rPr/>
        <w:t>. It is difficult to avoid as long as marketers supply residential/human needs customers. However we could claim to limit these “uniform business practices” only to these customers.</w:t>
      </w:r>
    </w:p>
    <w:p>
      <w:pPr>
        <w:pStyle w:val="BodyText2"/>
        <w:rPr/>
      </w:pPr>
      <w:r>
        <w:rPr/>
      </w:r>
    </w:p>
    <w:p>
      <w:pPr>
        <w:pStyle w:val="Normal"/>
        <w:jc w:val="both"/>
        <w:rPr>
          <w:rFonts w:ascii="Arial" w:hAnsi="Arial" w:cs="Arial"/>
          <w:b/>
          <w:bCs/>
          <w:sz w:val="22"/>
        </w:rPr>
      </w:pPr>
      <w:r>
        <w:rPr>
          <w:rFonts w:cs="Arial" w:ascii="Arial" w:hAnsi="Arial"/>
          <w:b/>
          <w:bCs/>
          <w:sz w:val="22"/>
        </w:rPr>
        <w:t>Funding (utility as taxing agent)</w:t>
      </w:r>
    </w:p>
    <w:p>
      <w:pPr>
        <w:pStyle w:val="Normal"/>
        <w:jc w:val="both"/>
        <w:rPr/>
      </w:pPr>
      <w:r>
        <w:rPr>
          <w:rFonts w:cs="Arial" w:ascii="Arial" w:hAnsi="Arial"/>
          <w:sz w:val="22"/>
          <w:u w:val="single"/>
        </w:rPr>
        <w:t>Recommendations</w:t>
      </w:r>
      <w:r>
        <w:rPr>
          <w:rFonts w:cs="Arial" w:ascii="Arial" w:hAnsi="Arial"/>
          <w:sz w:val="22"/>
        </w:rPr>
        <w:t xml:space="preserve">: </w:t>
      </w:r>
    </w:p>
    <w:p>
      <w:pPr>
        <w:pStyle w:val="Normal"/>
        <w:jc w:val="both"/>
        <w:rPr>
          <w:rFonts w:ascii="Arial" w:hAnsi="Arial" w:cs="Arial"/>
          <w:sz w:val="22"/>
        </w:rPr>
      </w:pPr>
      <w:r>
        <w:rPr>
          <w:rFonts w:cs="Arial" w:ascii="Arial" w:hAnsi="Arial"/>
          <w:sz w:val="22"/>
        </w:rPr>
        <w:t>Policy decisions to make utilities function as tax collection agencies should become explicit.</w:t>
      </w:r>
    </w:p>
    <w:p>
      <w:pPr>
        <w:pStyle w:val="Normal"/>
        <w:jc w:val="both"/>
        <w:rPr>
          <w:rFonts w:ascii="Arial" w:hAnsi="Arial" w:cs="Arial"/>
          <w:sz w:val="22"/>
        </w:rPr>
      </w:pPr>
      <w:r>
        <w:rPr>
          <w:rFonts w:cs="Arial" w:ascii="Arial" w:hAnsi="Arial"/>
          <w:sz w:val="22"/>
        </w:rPr>
        <w:t>Alternative taxation and funding methods are preferred by the Forum (e.g., "energy stamps" that function like Food Stamps).</w:t>
      </w:r>
    </w:p>
    <w:p>
      <w:pPr>
        <w:pStyle w:val="BodyText2"/>
        <w:rPr/>
      </w:pPr>
      <w:r>
        <w:rPr>
          <w:u w:val="single"/>
        </w:rPr>
        <w:t>Impact on Competition</w:t>
      </w:r>
      <w:r>
        <w:rPr/>
        <w:t>: Depends on the alternative methods to be proposed.</w:t>
      </w:r>
    </w:p>
    <w:p>
      <w:pPr>
        <w:pStyle w:val="BodyText2"/>
        <w:rPr/>
      </w:pPr>
      <w:r>
        <w:rPr/>
      </w:r>
    </w:p>
    <w:p>
      <w:pPr>
        <w:pStyle w:val="Normal"/>
        <w:jc w:val="both"/>
        <w:rPr>
          <w:rFonts w:ascii="Arial" w:hAnsi="Arial" w:cs="Arial"/>
          <w:b/>
          <w:bCs/>
          <w:sz w:val="22"/>
        </w:rPr>
      </w:pPr>
      <w:r>
        <w:rPr>
          <w:rFonts w:cs="Arial" w:ascii="Arial" w:hAnsi="Arial"/>
          <w:b/>
          <w:bCs/>
          <w:sz w:val="22"/>
        </w:rPr>
        <w:t>Delivery mechanisms (utility as social services agency)</w:t>
      </w:r>
    </w:p>
    <w:p>
      <w:pPr>
        <w:pStyle w:val="Normal"/>
        <w:jc w:val="both"/>
        <w:rPr/>
      </w:pPr>
      <w:r>
        <w:rPr>
          <w:rFonts w:cs="Arial" w:ascii="Arial" w:hAnsi="Arial"/>
          <w:sz w:val="22"/>
          <w:u w:val="single"/>
        </w:rPr>
        <w:t>Recommendation</w:t>
      </w:r>
      <w:r>
        <w:rPr>
          <w:rFonts w:cs="Arial" w:ascii="Arial" w:hAnsi="Arial"/>
          <w:sz w:val="22"/>
        </w:rPr>
        <w:t>: To the extent that utilities are required to offer social services, all similar network industries should carry a similar burden.  (amazing!)</w:t>
      </w:r>
    </w:p>
    <w:p>
      <w:pPr>
        <w:pStyle w:val="BodyText2"/>
        <w:rPr/>
      </w:pPr>
      <w:r>
        <w:rPr>
          <w:u w:val="single"/>
        </w:rPr>
        <w:t>Impact</w:t>
      </w:r>
      <w:r>
        <w:rPr/>
        <w:t xml:space="preserve">: Subsidies would ruin other industries. </w:t>
      </w:r>
    </w:p>
    <w:p>
      <w:pPr>
        <w:pStyle w:val="BodyText2"/>
        <w:rPr/>
      </w:pPr>
      <w:r>
        <w:rPr/>
      </w:r>
    </w:p>
    <w:p>
      <w:pPr>
        <w:pStyle w:val="Normal"/>
        <w:jc w:val="both"/>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2001-10-22T11:02:00Z</dcterms:created>
  <dc:creator>gcanovas</dc:creator>
  <dc:description/>
  <dc:language>en-CA</dc:language>
  <cp:lastModifiedBy>gcanovas</cp:lastModifiedBy>
  <dcterms:modified xsi:type="dcterms:W3CDTF">2001-10-22T11:49:00Z</dcterms:modified>
  <cp:revision>7</cp:revision>
  <dc:subject/>
  <dc:title>The DISCO of the Future: A National Forum Regardingthe Future of Gas and Electric Distribution Utilities</dc:title>
</cp:coreProperties>
</file>