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We estimated our discount rate using market data reported on Bloomberg for existing debt yields on April 1, 1997, the date when King County actually issued bonds to finance their stadium.  The 30 year bond was yielding 7.082% and the ten year was yielding 6.868%. Using the average of these two points, we are able to estimate  that 6.97% is the interpolated yield for a 20 year bond. This rate is a taxable risk free rate.  Since King County is using non-taxable financing, we must determine the non-taxable risk free rate. Taking an average of the five different federal tax bracket rates, 15%, 28%, 31%, 36%, and 39.6%, we determined the average tax rate is 29.9%. State tax rate was not taken into account since Washington doesn’t have personal income tax. In order to convert the taxable risk free rate into a non-taxable risk free rate, we must multiply 6.97% by 70.01%. The resulting non-taxable risk free rate is 4.88%.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To determine the risk premium rate, we observed the historical yields for the Bloomberg 20 year AA1 G.O. Municipal Bond Yield composite, the Bloomberg 20 year Washington State G.O. Bond Yield, as well as the Bloomberg 20 year New Jersey G.O. Bond Yield. All three of these yields are for bonds with the same Moody’s financial ratings as King County, AA1. Unfortunately on April 1, 1997, Bloomberg didn’t have any data for Washington State G.O. bonds. However using data points from 1998, the Washington G.O. bond composite had a yield three basis points less than the Bloomberg 20 year AA1 G.O. Municipal Bond Yield composite. </w:t>
      </w:r>
    </w:p>
    <w:p>
      <w:pPr>
        <w:pStyle w:val="Normal"/>
        <w:rPr>
          <w:rFonts w:ascii="Arial" w:hAnsi="Arial" w:eastAsia="Arial" w:cs="Arial"/>
        </w:rPr>
      </w:pPr>
      <w:r>
        <w:rPr>
          <w:rFonts w:eastAsia="Arial" w:cs="Arial" w:ascii="Arial" w:hAnsi="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2000-12-04T04:07:00Z</dcterms:created>
  <dc:creator>u65661</dc:creator>
  <dc:description/>
  <dc:language>en-CA</dc:language>
  <cp:lastModifiedBy>u65661</cp:lastModifiedBy>
  <dcterms:modified xsi:type="dcterms:W3CDTF">2000-12-04T04:07:00Z</dcterms:modified>
  <cp:revision>2</cp:revision>
  <dc:subject/>
  <dc:title>We estimated our discount rate using market data reported on Bloomberg for existing debt yields on April 1, 1997, the date whe</dc:title>
</cp:coreProperties>
</file>