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rPr>
          <w:rFonts w:ascii="Bookman Old Style" w:hAnsi="Bookman Old Style" w:cs="Bookman Old Style"/>
          <w:b/>
          <w:sz w:val="24"/>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pBdr>
          <w:bottom w:val="double" w:sz="6" w:space="1" w:color="000000"/>
        </w:pBdr>
        <w:rPr>
          <w:rFonts w:ascii="Bookman Old Style" w:hAnsi="Bookman Old Style" w:cs="Bookman Old Style"/>
          <w:b/>
          <w:sz w:val="24"/>
        </w:rPr>
      </w:pPr>
      <w:r>
        <w:rPr>
          <w:rFonts w:cs="Bookman Old Style" w:ascii="Bookman Old Style" w:hAnsi="Bookman Old Style"/>
          <w:b/>
          <w:sz w:val="24"/>
        </w:rPr>
      </w:r>
    </w:p>
    <w:p>
      <w:pPr>
        <w:pStyle w:val="Normal"/>
        <w:pBdr>
          <w:bottom w:val="double" w:sz="6" w:space="1" w:color="000000"/>
        </w:pBdr>
        <w:rPr>
          <w:rFonts w:ascii="Bookman Old Style" w:hAnsi="Bookman Old Style" w:cs="Bookman Old Style"/>
          <w:b/>
          <w:sz w:val="24"/>
        </w:rPr>
      </w:pPr>
      <w:r>
        <w:rPr>
          <w:rFonts w:cs="Bookman Old Style" w:ascii="Bookman Old Style" w:hAnsi="Bookman Old Style"/>
          <w:b/>
          <w:sz w:val="24"/>
        </w:rPr>
      </w:r>
    </w:p>
    <w:p>
      <w:pPr>
        <w:pStyle w:val="Normal"/>
        <w:jc w:val="center"/>
        <w:rPr>
          <w:rFonts w:ascii="Bookman Old Style" w:hAnsi="Bookman Old Style" w:cs="Bookman Old Style"/>
          <w:b/>
          <w:sz w:val="40"/>
        </w:rPr>
      </w:pPr>
      <w:r>
        <w:rPr>
          <w:rFonts w:cs="Bookman Old Style" w:ascii="Bookman Old Style" w:hAnsi="Bookman Old Style"/>
          <w:b/>
          <w:sz w:val="40"/>
        </w:rPr>
        <w:t>Enron Corp</w:t>
      </w:r>
    </w:p>
    <w:p>
      <w:pPr>
        <w:pStyle w:val="Normal"/>
        <w:jc w:val="center"/>
        <w:rPr>
          <w:rFonts w:ascii="Bookman Old Style" w:hAnsi="Bookman Old Style" w:cs="Bookman Old Style"/>
          <w:b/>
          <w:sz w:val="40"/>
        </w:rPr>
      </w:pPr>
      <w:r>
        <w:rPr>
          <w:rFonts w:cs="Bookman Old Style" w:ascii="Bookman Old Style" w:hAnsi="Bookman Old Style"/>
          <w:b/>
          <w:sz w:val="40"/>
        </w:rPr>
        <w:t>Director-Level Impact &amp; Influence Program</w:t>
      </w:r>
    </w:p>
    <w:p>
      <w:pPr>
        <w:pStyle w:val="Normal"/>
        <w:jc w:val="center"/>
        <w:rPr>
          <w:rFonts w:ascii="Bookman Old Style" w:hAnsi="Bookman Old Style" w:cs="Bookman Old Style"/>
          <w:sz w:val="40"/>
        </w:rPr>
      </w:pPr>
      <w:r>
        <w:rPr>
          <w:rFonts w:cs="Bookman Old Style" w:ascii="Bookman Old Style" w:hAnsi="Bookman Old Style"/>
          <w:b/>
          <w:sz w:val="40"/>
        </w:rPr>
        <w:t>Participant Information</w:t>
      </w:r>
    </w:p>
    <w:p>
      <w:pPr>
        <w:pStyle w:val="Normal"/>
        <w:pBdr>
          <w:bottom w:val="double" w:sz="6" w:space="1" w:color="000000"/>
        </w:pBdr>
        <w:rPr>
          <w:rFonts w:ascii="Bookman Old Style" w:hAnsi="Bookman Old Style" w:cs="Bookman Old Style"/>
          <w:sz w:val="24"/>
        </w:rPr>
      </w:pPr>
      <w:r>
        <w:rPr>
          <w:rFonts w:cs="Bookman Old Style" w:ascii="Bookman Old Style" w:hAnsi="Bookman Old Style"/>
          <w:sz w:val="24"/>
        </w:rPr>
      </w:r>
    </w:p>
    <w:p>
      <w:pPr>
        <w:pStyle w:val="Normal"/>
        <w:ind w:hanging="360" w:start="360" w:end="0"/>
        <w:rPr>
          <w:rFonts w:ascii="Bookman Old Style" w:hAnsi="Bookman Old Style" w:cs="Bookman Old Style"/>
          <w:sz w:val="24"/>
        </w:rPr>
      </w:pPr>
      <w:r>
        <w:rPr>
          <w:rFonts w:cs="Bookman Old Style" w:ascii="Bookman Old Style" w:hAnsi="Bookman Old Style"/>
          <w:sz w:val="24"/>
        </w:rPr>
      </w:r>
    </w:p>
    <w:p>
      <w:pPr>
        <w:pStyle w:val="Normal"/>
        <w:rPr>
          <w:rFonts w:ascii="Arial" w:hAnsi="Arial" w:cs="Arial"/>
          <w:b/>
          <w:sz w:val="24"/>
          <w:u w:val="single"/>
        </w:rPr>
      </w:pPr>
      <w:r>
        <w:rPr>
          <w:rFonts w:cs="Arial" w:ascii="Arial" w:hAnsi="Arial"/>
          <w:b/>
          <w:sz w:val="24"/>
          <w:u w:val="single"/>
        </w:rPr>
        <w:t>BACKGROUND</w:t>
      </w:r>
    </w:p>
    <w:p>
      <w:pPr>
        <w:pStyle w:val="Normal"/>
        <w:rPr>
          <w:rFonts w:ascii="Arial" w:hAnsi="Arial" w:cs="Arial"/>
          <w:b/>
          <w:sz w:val="24"/>
          <w:u w:val="single"/>
        </w:rPr>
      </w:pPr>
      <w:r>
        <w:rPr>
          <w:rFonts w:cs="Arial" w:ascii="Arial" w:hAnsi="Arial"/>
          <w:b/>
          <w:sz w:val="24"/>
          <w:u w:val="single"/>
        </w:rPr>
      </w:r>
    </w:p>
    <w:p>
      <w:pPr>
        <w:pStyle w:val="Normal"/>
        <w:jc w:val="both"/>
        <w:rPr>
          <w:rFonts w:ascii="Arial" w:hAnsi="Arial" w:cs="Arial"/>
          <w:sz w:val="24"/>
        </w:rPr>
      </w:pPr>
      <w:r>
        <w:rPr>
          <w:rFonts w:cs="Arial" w:ascii="Arial" w:hAnsi="Arial"/>
          <w:sz w:val="24"/>
        </w:rPr>
        <w:t xml:space="preserve">The Director-Level Impact &amp; Influence Program has been designed to meet Enron’s desire to continually enhance the skills of our executives in areas that have significant impact on accomplishing business results.  Personal impact and influence skills clearly fall within that framework. </w:t>
      </w:r>
    </w:p>
    <w:p>
      <w:pPr>
        <w:pStyle w:val="Normal"/>
        <w:jc w:val="both"/>
        <w:rPr>
          <w:rFonts w:ascii="Arial" w:hAnsi="Arial" w:cs="Arial"/>
          <w:sz w:val="24"/>
        </w:rPr>
      </w:pPr>
      <w:r>
        <w:rPr>
          <w:rFonts w:cs="Arial" w:ascii="Arial" w:hAnsi="Arial"/>
          <w:sz w:val="24"/>
        </w:rPr>
      </w:r>
    </w:p>
    <w:p>
      <w:pPr>
        <w:pStyle w:val="BodyText2"/>
        <w:rPr/>
      </w:pPr>
      <w:r>
        <w:rPr/>
        <w:t>In addition to the discussions, case studies and group interaction, multidirectional feedback and individual consultations are key elements of this program.  Participants will identify individuals from whom they would like to receive feedback and the program consultants will administer feedback instruments to those individuals.  They will also gather the feedback and provide consultation on the interpretation of the data.</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feedback survey is designed around elements of behavior that have been found to be instrumental in achieving maximum positive impact and influence.</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 xml:space="preserve">This </w:t>
      </w:r>
      <w:r>
        <w:rPr>
          <w:rFonts w:cs="Arial" w:ascii="Arial" w:hAnsi="Arial"/>
          <w:b/>
          <w:sz w:val="24"/>
        </w:rPr>
        <w:t>is not</w:t>
      </w:r>
      <w:r>
        <w:rPr>
          <w:rFonts w:cs="Arial" w:ascii="Arial" w:hAnsi="Arial"/>
          <w:sz w:val="24"/>
        </w:rPr>
        <w:t xml:space="preserve"> a performance appraisal process.  Each participant in personal development planning will use the information gathered.  It will only be available to that individual and the Keilty Goldsmith &amp; Company staff responsible for the program.  An individual’s feedback data will not be given to anyone else in Enron except the program participant who requested the feedback.</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 xml:space="preserve">The firm of Keilty Goldsmith &amp; Company has been engaged to facilitate the program.  They will gather the feedback, as well as provide counseling on the interpretation and most positive use of the feedback.  They presently work with eight of the Most Admired Corporations identified in the March, 1999 issue of </w:t>
      </w:r>
      <w:r>
        <w:rPr>
          <w:rFonts w:cs="Arial" w:ascii="Arial" w:hAnsi="Arial"/>
          <w:sz w:val="24"/>
          <w:u w:val="single"/>
        </w:rPr>
        <w:t>Fortune</w:t>
      </w:r>
      <w:r>
        <w:rPr>
          <w:rFonts w:cs="Arial" w:ascii="Arial" w:hAnsi="Arial"/>
          <w:sz w:val="24"/>
        </w:rPr>
        <w:t>.  They have provided similar services for senior executives at firms such as:</w:t>
      </w:r>
    </w:p>
    <w:p>
      <w:pPr>
        <w:pStyle w:val="Normal"/>
        <w:rPr>
          <w:rFonts w:ascii="Arial" w:hAnsi="Arial" w:cs="Arial"/>
          <w:sz w:val="24"/>
        </w:rPr>
      </w:pPr>
      <w:r>
        <w:rPr>
          <w:rFonts w:cs="Arial" w:ascii="Arial" w:hAnsi="Arial"/>
          <w:sz w:val="24"/>
        </w:rPr>
      </w:r>
    </w:p>
    <w:p>
      <w:pPr>
        <w:pStyle w:val="Normal"/>
        <w:tabs>
          <w:tab w:val="left" w:pos="720" w:leader="none"/>
          <w:tab w:val="left" w:pos="2880" w:leader="none"/>
          <w:tab w:val="left" w:pos="6120" w:leader="none"/>
        </w:tabs>
        <w:rPr>
          <w:rFonts w:ascii="Arial" w:hAnsi="Arial" w:cs="Arial"/>
          <w:sz w:val="24"/>
        </w:rPr>
      </w:pPr>
      <w:r>
        <w:rPr>
          <w:rFonts w:cs="Arial" w:ascii="Arial" w:hAnsi="Arial"/>
          <w:sz w:val="24"/>
        </w:rPr>
        <w:tab/>
        <w:t>GE</w:t>
        <w:tab/>
        <w:t>American Express</w:t>
        <w:tab/>
        <w:t>McKinsey</w:t>
      </w:r>
    </w:p>
    <w:p>
      <w:pPr>
        <w:pStyle w:val="Heading1"/>
        <w:tabs>
          <w:tab w:val="left" w:pos="720" w:leader="none"/>
          <w:tab w:val="left" w:pos="2880" w:leader="none"/>
          <w:tab w:val="left" w:pos="6120" w:leader="none"/>
        </w:tabs>
        <w:ind w:hanging="0" w:start="0"/>
        <w:rPr>
          <w:rFonts w:ascii="Arial" w:hAnsi="Arial" w:cs="Arial"/>
        </w:rPr>
      </w:pPr>
      <w:r>
        <w:rPr>
          <w:rFonts w:cs="Arial" w:ascii="Arial" w:hAnsi="Arial"/>
        </w:rPr>
        <w:tab/>
        <w:t>Citicorp</w:t>
        <w:tab/>
        <w:t>Coca-Cola</w:t>
        <w:tab/>
        <w:t>Merck</w:t>
      </w:r>
    </w:p>
    <w:p>
      <w:pPr>
        <w:pStyle w:val="Heading3"/>
        <w:ind w:hanging="0" w:start="0"/>
        <w:rPr>
          <w:rFonts w:ascii="Arial" w:hAnsi="Arial" w:cs="Arial"/>
        </w:rPr>
      </w:pPr>
      <w:r>
        <w:rPr>
          <w:rFonts w:cs="Arial" w:ascii="Arial" w:hAnsi="Arial"/>
        </w:rPr>
      </w:r>
    </w:p>
    <w:p>
      <w:pPr>
        <w:pStyle w:val="Heading3"/>
        <w:ind w:hanging="0" w:start="0"/>
        <w:rPr>
          <w:rFonts w:ascii="Arial" w:hAnsi="Arial" w:cs="Arial"/>
        </w:rPr>
      </w:pPr>
      <w:r>
        <w:rPr>
          <w:rFonts w:cs="Arial" w:ascii="Arial" w:hAnsi="Arial"/>
        </w:rPr>
      </w:r>
    </w:p>
    <w:p>
      <w:pPr>
        <w:pStyle w:val="Normal"/>
        <w:rPr>
          <w:rFonts w:ascii="Arial" w:hAnsi="Arial" w:cs="Arial"/>
          <w:sz w:val="24"/>
          <w:u w:val="single"/>
        </w:rPr>
      </w:pPr>
      <w:r>
        <w:rPr>
          <w:rFonts w:cs="Arial" w:ascii="Arial" w:hAnsi="Arial"/>
          <w:sz w:val="24"/>
          <w:u w:val="single"/>
        </w:rPr>
      </w:r>
    </w:p>
    <w:p>
      <w:pPr>
        <w:pStyle w:val="Normal"/>
        <w:rPr>
          <w:rFonts w:ascii="Arial" w:hAnsi="Arial" w:cs="Arial"/>
          <w:sz w:val="24"/>
          <w:u w:val="single"/>
        </w:rPr>
      </w:pPr>
      <w:r>
        <w:rPr>
          <w:rFonts w:cs="Arial" w:ascii="Arial" w:hAnsi="Arial"/>
          <w:sz w:val="24"/>
          <w:u w:val="single"/>
        </w:rPr>
      </w:r>
    </w:p>
    <w:p>
      <w:pPr>
        <w:pStyle w:val="Normal"/>
        <w:rPr>
          <w:rFonts w:ascii="Arial" w:hAnsi="Arial" w:cs="Arial"/>
          <w:sz w:val="24"/>
          <w:u w:val="single"/>
        </w:rPr>
      </w:pPr>
      <w:r>
        <w:rPr>
          <w:rFonts w:cs="Arial" w:ascii="Arial" w:hAnsi="Arial"/>
          <w:sz w:val="24"/>
          <w:u w:val="single"/>
        </w:rPr>
      </w:r>
    </w:p>
    <w:p>
      <w:pPr>
        <w:pStyle w:val="Normal"/>
        <w:rPr>
          <w:rFonts w:ascii="Arial" w:hAnsi="Arial" w:cs="Arial"/>
          <w:b/>
          <w:sz w:val="24"/>
          <w:u w:val="single"/>
        </w:rPr>
      </w:pPr>
      <w:r>
        <w:rPr>
          <w:rFonts w:cs="Arial" w:ascii="Arial" w:hAnsi="Arial"/>
          <w:b/>
          <w:sz w:val="24"/>
          <w:u w:val="single"/>
        </w:rPr>
        <w:t>Program Time:</w:t>
      </w:r>
    </w:p>
    <w:p>
      <w:pPr>
        <w:pStyle w:val="Normal"/>
        <w:ind w:firstLine="720" w:end="0"/>
        <w:rPr>
          <w:rFonts w:ascii="Arial" w:hAnsi="Arial" w:cs="Arial"/>
          <w:sz w:val="24"/>
        </w:rPr>
      </w:pPr>
      <w:r>
        <w:rPr>
          <w:rFonts w:cs="Arial" w:ascii="Arial" w:hAnsi="Arial"/>
          <w:sz w:val="24"/>
        </w:rPr>
        <w:t>8:00 a.m. through 6:30 p.m. each day</w:t>
      </w:r>
    </w:p>
    <w:p>
      <w:pPr>
        <w:pStyle w:val="Normal"/>
        <w:rPr>
          <w:rFonts w:ascii="Arial" w:hAnsi="Arial" w:cs="Arial"/>
          <w:sz w:val="24"/>
          <w:u w:val="single"/>
        </w:rPr>
      </w:pPr>
      <w:r>
        <w:rPr>
          <w:rFonts w:cs="Arial" w:ascii="Arial" w:hAnsi="Arial"/>
          <w:sz w:val="24"/>
          <w:u w:val="single"/>
        </w:rPr>
      </w:r>
    </w:p>
    <w:p>
      <w:pPr>
        <w:pStyle w:val="Normal"/>
        <w:rPr>
          <w:rFonts w:ascii="Arial" w:hAnsi="Arial" w:cs="Arial"/>
          <w:b/>
          <w:sz w:val="24"/>
          <w:u w:val="single"/>
        </w:rPr>
      </w:pPr>
      <w:r>
        <w:rPr>
          <w:rFonts w:cs="Arial" w:ascii="Arial" w:hAnsi="Arial"/>
          <w:b/>
          <w:sz w:val="24"/>
          <w:u w:val="single"/>
        </w:rPr>
        <w:t>Program Fee:</w:t>
      </w:r>
    </w:p>
    <w:p>
      <w:pPr>
        <w:pStyle w:val="Normal"/>
        <w:ind w:start="720" w:end="0"/>
        <w:jc w:val="both"/>
        <w:rPr/>
      </w:pPr>
      <w:r>
        <w:rPr>
          <w:rFonts w:cs="Arial" w:ascii="Arial" w:hAnsi="Arial"/>
          <w:sz w:val="24"/>
        </w:rPr>
        <w:t xml:space="preserve">Tuition for the program is $2,250 per participant.  This fee includes facilitation, feedback survey distribution, data collection, individual counseling at the program, a brief follow up survey, 3-6-9 month counseling follow-ups, program materials.  </w:t>
      </w:r>
      <w:r>
        <w:rPr>
          <w:rFonts w:cs="Arial" w:ascii="Arial" w:hAnsi="Arial"/>
          <w:b/>
          <w:sz w:val="24"/>
        </w:rPr>
        <w:t xml:space="preserve">Please note that due to the nature of the program, </w:t>
      </w:r>
      <w:r>
        <w:rPr>
          <w:rFonts w:cs="Arial" w:ascii="Arial" w:hAnsi="Arial"/>
          <w:b/>
          <w:sz w:val="24"/>
          <w:u w:val="single"/>
        </w:rPr>
        <w:t>tuition is non-refundable/non-transferable</w:t>
      </w:r>
      <w:r>
        <w:rPr>
          <w:rFonts w:cs="Arial" w:ascii="Arial" w:hAnsi="Arial"/>
          <w:b/>
          <w:sz w:val="24"/>
        </w:rPr>
        <w:t>.  Once enrolled, the fee cannot be applied to a future program.</w:t>
      </w:r>
    </w:p>
    <w:p>
      <w:pPr>
        <w:pStyle w:val="Normal"/>
        <w:jc w:val="both"/>
        <w:rPr>
          <w:rFonts w:ascii="Arial" w:hAnsi="Arial" w:cs="Arial"/>
          <w:b/>
          <w:sz w:val="24"/>
          <w:u w:val="single"/>
        </w:rPr>
      </w:pPr>
      <w:r>
        <w:rPr>
          <w:rFonts w:cs="Arial" w:ascii="Arial" w:hAnsi="Arial"/>
          <w:b/>
          <w:sz w:val="24"/>
          <w:u w:val="single"/>
        </w:rPr>
      </w:r>
    </w:p>
    <w:p>
      <w:pPr>
        <w:pStyle w:val="Normal"/>
        <w:jc w:val="both"/>
        <w:rPr>
          <w:rFonts w:ascii="Arial" w:hAnsi="Arial" w:cs="Arial"/>
          <w:b/>
          <w:sz w:val="24"/>
        </w:rPr>
      </w:pPr>
      <w:r>
        <w:rPr>
          <w:rFonts w:cs="Arial" w:ascii="Arial" w:hAnsi="Arial"/>
          <w:b/>
          <w:sz w:val="24"/>
          <w:u w:val="single"/>
        </w:rPr>
        <w:t>Daily Sessions:</w:t>
      </w:r>
    </w:p>
    <w:p>
      <w:pPr>
        <w:pStyle w:val="Normal"/>
        <w:ind w:start="720" w:end="0"/>
        <w:jc w:val="both"/>
        <w:rPr>
          <w:rFonts w:ascii="Arial" w:hAnsi="Arial" w:cs="Arial"/>
          <w:sz w:val="24"/>
        </w:rPr>
      </w:pPr>
      <w:r>
        <w:rPr>
          <w:rFonts w:cs="Arial" w:ascii="Arial" w:hAnsi="Arial"/>
          <w:sz w:val="24"/>
        </w:rPr>
        <w:t>The sessions each day will begin at 8:00 a.m. and conclude at approximately 6:30 p.m.  There will be no formal group dinners or evening assignments, but the faculty will be available for discussions.  A continental breakfast, break refreshments and group lunches are included in the program fees.</w:t>
      </w:r>
    </w:p>
    <w:p>
      <w:pPr>
        <w:pStyle w:val="Normal"/>
        <w:jc w:val="both"/>
        <w:rPr>
          <w:rFonts w:ascii="Arial" w:hAnsi="Arial" w:cs="Arial"/>
          <w:sz w:val="24"/>
          <w:u w:val="single"/>
        </w:rPr>
      </w:pPr>
      <w:r>
        <w:rPr>
          <w:rFonts w:cs="Arial" w:ascii="Arial" w:hAnsi="Arial"/>
          <w:sz w:val="24"/>
          <w:u w:val="single"/>
        </w:rPr>
      </w:r>
    </w:p>
    <w:p>
      <w:pPr>
        <w:pStyle w:val="Normal"/>
        <w:jc w:val="both"/>
        <w:rPr>
          <w:rFonts w:ascii="Arial" w:hAnsi="Arial" w:cs="Arial"/>
          <w:b/>
          <w:sz w:val="24"/>
          <w:u w:val="single"/>
        </w:rPr>
      </w:pPr>
      <w:r>
        <w:rPr>
          <w:rFonts w:cs="Arial" w:ascii="Arial" w:hAnsi="Arial"/>
          <w:b/>
          <w:sz w:val="24"/>
          <w:u w:val="single"/>
        </w:rPr>
        <w:t>Program Location:</w:t>
      </w:r>
    </w:p>
    <w:p>
      <w:pPr>
        <w:pStyle w:val="Normal"/>
        <w:tabs>
          <w:tab w:val="clear" w:pos="720"/>
          <w:tab w:val="left" w:pos="900" w:leader="none"/>
          <w:tab w:val="left" w:pos="3240" w:leader="dot"/>
        </w:tabs>
        <w:ind w:start="720" w:end="0"/>
        <w:jc w:val="both"/>
        <w:rPr>
          <w:rFonts w:ascii="Arial" w:hAnsi="Arial" w:cs="Arial"/>
          <w:sz w:val="24"/>
        </w:rPr>
      </w:pPr>
      <w:r>
        <w:rPr>
          <w:rFonts w:cs="Arial" w:ascii="Arial" w:hAnsi="Arial"/>
          <w:sz w:val="24"/>
        </w:rPr>
        <w:t>Exact program locations will be forthcoming.</w:t>
      </w:r>
    </w:p>
    <w:p>
      <w:pPr>
        <w:pStyle w:val="BodyTextIndent"/>
        <w:rPr/>
      </w:pPr>
      <w:r>
        <w:rPr/>
        <w:t>Hotel reservations are the responsibility of each participant.  Living costs (hotel room, telephone costs, incidentals, dinners, etc.) are not included in the program fee and should be expensed by each participant.</w:t>
      </w:r>
    </w:p>
    <w:p>
      <w:pPr>
        <w:pStyle w:val="Normal"/>
        <w:ind w:start="720" w:end="0"/>
        <w:rPr>
          <w:rFonts w:ascii="Arial" w:hAnsi="Arial" w:cs="Arial"/>
          <w:sz w:val="24"/>
        </w:rPr>
      </w:pPr>
      <w:r>
        <w:rPr>
          <w:rFonts w:cs="Arial" w:ascii="Arial" w:hAnsi="Arial"/>
          <w:sz w:val="24"/>
        </w:rPr>
      </w:r>
    </w:p>
    <w:p>
      <w:pPr>
        <w:pStyle w:val="Normal"/>
        <w:rPr>
          <w:rFonts w:ascii="Arial" w:hAnsi="Arial" w:cs="Arial"/>
          <w:b/>
          <w:sz w:val="24"/>
          <w:u w:val="single"/>
        </w:rPr>
      </w:pPr>
      <w:r>
        <w:rPr>
          <w:rFonts w:cs="Arial" w:ascii="Arial" w:hAnsi="Arial"/>
          <w:b/>
          <w:sz w:val="24"/>
          <w:u w:val="single"/>
        </w:rPr>
        <w:t>Travel Arrangements:</w:t>
      </w:r>
    </w:p>
    <w:p>
      <w:pPr>
        <w:pStyle w:val="Normal"/>
        <w:ind w:start="720" w:end="0"/>
        <w:jc w:val="both"/>
        <w:rPr>
          <w:rFonts w:ascii="Arial" w:hAnsi="Arial" w:cs="Arial"/>
          <w:sz w:val="24"/>
        </w:rPr>
      </w:pPr>
      <w:r>
        <w:rPr>
          <w:rFonts w:cs="Arial" w:ascii="Arial" w:hAnsi="Arial"/>
          <w:sz w:val="24"/>
        </w:rPr>
        <w:t>Travel arrangements are the responsibility of each participant and travel costs are not included in the program fee.</w:t>
      </w:r>
    </w:p>
    <w:p>
      <w:pPr>
        <w:pStyle w:val="Normal"/>
        <w:ind w:hanging="90" w:end="0"/>
        <w:rPr>
          <w:rFonts w:ascii="Arial" w:hAnsi="Arial" w:cs="Arial"/>
          <w:b/>
          <w:sz w:val="24"/>
          <w:u w:val="single"/>
        </w:rPr>
      </w:pPr>
      <w:r>
        <w:rPr>
          <w:rFonts w:cs="Arial" w:ascii="Arial" w:hAnsi="Arial"/>
          <w:b/>
          <w:sz w:val="24"/>
          <w:u w:val="single"/>
        </w:rPr>
      </w:r>
    </w:p>
    <w:p>
      <w:pPr>
        <w:pStyle w:val="Normal"/>
        <w:ind w:hanging="90" w:end="0"/>
        <w:rPr>
          <w:rFonts w:ascii="Arial" w:hAnsi="Arial" w:cs="Arial"/>
          <w:b/>
          <w:sz w:val="24"/>
        </w:rPr>
      </w:pPr>
      <w:r>
        <w:rPr>
          <w:rFonts w:cs="Arial" w:ascii="Arial" w:hAnsi="Arial"/>
          <w:b/>
          <w:sz w:val="24"/>
          <w:u w:val="single"/>
        </w:rPr>
        <w:t>ENROLLMENT PROCESS</w:t>
      </w:r>
    </w:p>
    <w:p>
      <w:pPr>
        <w:pStyle w:val="Normal"/>
        <w:rPr>
          <w:rFonts w:ascii="Arial" w:hAnsi="Arial" w:cs="Arial"/>
          <w:b/>
          <w:sz w:val="24"/>
        </w:rPr>
      </w:pPr>
      <w:r>
        <w:rPr>
          <w:rFonts w:cs="Arial" w:ascii="Arial" w:hAnsi="Arial"/>
          <w:b/>
          <w:sz w:val="24"/>
        </w:rPr>
      </w:r>
    </w:p>
    <w:p>
      <w:pPr>
        <w:pStyle w:val="Normal"/>
        <w:numPr>
          <w:ilvl w:val="0"/>
          <w:numId w:val="5"/>
        </w:numPr>
        <w:jc w:val="both"/>
        <w:rPr>
          <w:rFonts w:ascii="Arial" w:hAnsi="Arial" w:cs="Arial"/>
          <w:sz w:val="24"/>
        </w:rPr>
      </w:pPr>
      <w:r>
        <w:rPr>
          <w:rFonts w:cs="Arial" w:ascii="Arial" w:hAnsi="Arial"/>
          <w:b/>
          <w:sz w:val="24"/>
          <w:u w:val="single"/>
        </w:rPr>
        <w:t>Enrollment/Confirmation</w:t>
      </w:r>
      <w:r>
        <w:rPr>
          <w:rFonts w:cs="Arial" w:ascii="Arial" w:hAnsi="Arial"/>
          <w:sz w:val="24"/>
          <w:u w:val="single"/>
        </w:rPr>
        <w:t xml:space="preserve"> </w:t>
      </w:r>
      <w:r>
        <w:rPr>
          <w:rFonts w:cs="Arial" w:ascii="Arial" w:hAnsi="Arial"/>
          <w:sz w:val="24"/>
        </w:rPr>
        <w:t>- After enrolling, you will receive a confirmation from Enron’s Executive Development Group.  Location of the program will be forthcoming.</w:t>
      </w:r>
    </w:p>
    <w:p>
      <w:pPr>
        <w:pStyle w:val="Normal"/>
        <w:numPr>
          <w:ilvl w:val="0"/>
          <w:numId w:val="5"/>
        </w:numPr>
        <w:spacing w:before="100" w:after="100"/>
        <w:rPr>
          <w:rFonts w:ascii="Arial" w:hAnsi="Arial" w:cs="Arial"/>
          <w:sz w:val="24"/>
        </w:rPr>
      </w:pPr>
      <w:r>
        <w:rPr>
          <w:rFonts w:cs="Arial" w:ascii="Arial" w:hAnsi="Arial"/>
          <w:b/>
          <w:sz w:val="24"/>
          <w:u w:val="single"/>
        </w:rPr>
        <w:t>Team Selection Form</w:t>
      </w:r>
      <w:r>
        <w:rPr>
          <w:rFonts w:cs="Arial" w:ascii="Arial" w:hAnsi="Arial"/>
          <w:sz w:val="24"/>
        </w:rPr>
        <w:t xml:space="preserve"> -  The Team Selection process allows you to identify those people from whom you wish to receive feedback (i.e. your immediate manager, each direct report, and colleagues/peers).</w:t>
      </w:r>
    </w:p>
    <w:p>
      <w:pPr>
        <w:pStyle w:val="Normal"/>
        <w:ind w:firstLine="270" w:start="450" w:end="0"/>
        <w:rPr>
          <w:rFonts w:ascii="Arial" w:hAnsi="Arial" w:cs="Arial"/>
          <w:sz w:val="24"/>
        </w:rPr>
      </w:pPr>
      <w:r>
        <w:rPr>
          <w:rFonts w:cs="Arial" w:ascii="Arial" w:hAnsi="Arial"/>
          <w:sz w:val="24"/>
        </w:rPr>
      </w:r>
    </w:p>
    <w:p>
      <w:pPr>
        <w:pStyle w:val="BodyTextIndent2"/>
        <w:rPr/>
      </w:pPr>
      <w:r>
        <w:rPr/>
        <w:t xml:space="preserve">You will receive an on-line request from FSD Data Services ( a subsidiary of Keilty Goldsmith &amp; Company).   Simply follow the instructions and return the completed form by the deadline stated in their request.  Once FSD receives your selections then they will administer an on-line rater form directly to your chosen feedback givers.  The e-mail address you supply for your raters will be used also to send any reminders necessary to encourage a return from those who have not filled out the form on your behalf. </w:t>
      </w:r>
    </w:p>
    <w:p>
      <w:pPr>
        <w:pStyle w:val="Normal"/>
        <w:ind w:firstLine="360" w:end="0"/>
        <w:jc w:val="both"/>
        <w:rPr>
          <w:rFonts w:ascii="Arial" w:hAnsi="Arial" w:cs="Arial"/>
          <w:sz w:val="24"/>
        </w:rPr>
      </w:pPr>
      <w:r>
        <w:rPr>
          <w:rFonts w:cs="Arial" w:ascii="Arial" w:hAnsi="Arial"/>
          <w:sz w:val="24"/>
        </w:rPr>
      </w:r>
    </w:p>
    <w:p>
      <w:pPr>
        <w:pStyle w:val="Normal"/>
        <w:ind w:start="360" w:end="0"/>
        <w:jc w:val="both"/>
        <w:rPr>
          <w:rFonts w:ascii="Arial" w:hAnsi="Arial" w:cs="Arial"/>
          <w:sz w:val="24"/>
        </w:rPr>
      </w:pPr>
      <w:r>
        <w:rPr>
          <w:rFonts w:cs="Arial" w:ascii="Arial" w:hAnsi="Arial"/>
          <w:sz w:val="24"/>
        </w:rPr>
        <w:t>All of your direct reports should be part of the feedback group, your immediate manager and up to 8 others (peers, associates, etc.) should also be part of this group.  You will also be provided a self-rating form when the forms are distributed.   It is important that you select a group influential to your success and close to the size recommended above.</w:t>
      </w:r>
    </w:p>
    <w:p>
      <w:pPr>
        <w:pStyle w:val="Normal"/>
        <w:jc w:val="both"/>
        <w:rPr>
          <w:rFonts w:ascii="Arial" w:hAnsi="Arial" w:cs="Arial"/>
          <w:sz w:val="24"/>
        </w:rPr>
      </w:pPr>
      <w:r>
        <w:rPr>
          <w:rFonts w:cs="Arial" w:ascii="Arial" w:hAnsi="Arial"/>
          <w:sz w:val="24"/>
        </w:rPr>
      </w:r>
    </w:p>
    <w:p>
      <w:pPr>
        <w:pStyle w:val="Normal"/>
        <w:ind w:start="360" w:end="0"/>
        <w:jc w:val="both"/>
        <w:rPr/>
      </w:pPr>
      <w:r>
        <w:rPr>
          <w:rFonts w:cs="Arial" w:ascii="Arial" w:hAnsi="Arial"/>
          <w:sz w:val="24"/>
        </w:rPr>
        <w:t xml:space="preserve">Please use care when providing your raters Internet address as you complete your Team Selection Form.  Since all transactions will be on-line, it is very important to provide FSD with the </w:t>
      </w:r>
      <w:r>
        <w:rPr>
          <w:rFonts w:cs="Arial" w:ascii="Arial" w:hAnsi="Arial"/>
          <w:b/>
          <w:sz w:val="24"/>
          <w:u w:val="single"/>
        </w:rPr>
        <w:t>“exact” Internet address</w:t>
      </w:r>
      <w:r>
        <w:rPr>
          <w:rFonts w:cs="Arial" w:ascii="Arial" w:hAnsi="Arial"/>
          <w:sz w:val="24"/>
        </w:rPr>
        <w:t xml:space="preserve"> for each of your raters.  </w:t>
      </w:r>
    </w:p>
    <w:p>
      <w:pPr>
        <w:pStyle w:val="Normal"/>
        <w:ind w:start="360" w:end="0"/>
        <w:rPr>
          <w:rFonts w:ascii="Arial" w:hAnsi="Arial" w:cs="Arial"/>
          <w:sz w:val="24"/>
        </w:rPr>
      </w:pPr>
      <w:r>
        <w:rPr>
          <w:rFonts w:cs="Arial" w:ascii="Arial" w:hAnsi="Arial"/>
          <w:sz w:val="24"/>
        </w:rPr>
      </w:r>
    </w:p>
    <w:p>
      <w:pPr>
        <w:pStyle w:val="Normal"/>
        <w:ind w:start="360" w:end="0"/>
        <w:rPr>
          <w:rFonts w:ascii="Arial" w:hAnsi="Arial" w:cs="Arial"/>
          <w:b/>
          <w:sz w:val="24"/>
          <w:u w:val="single"/>
        </w:rPr>
      </w:pPr>
      <w:r>
        <w:rPr>
          <w:rFonts w:cs="Arial" w:ascii="Arial" w:hAnsi="Arial"/>
          <w:b/>
          <w:sz w:val="24"/>
          <w:u w:val="single"/>
        </w:rPr>
        <w:t>MULTIDIRECTIONAL FEEDBACK</w:t>
      </w:r>
    </w:p>
    <w:p>
      <w:pPr>
        <w:pStyle w:val="Heading4"/>
        <w:rPr/>
      </w:pPr>
      <w:r>
        <w:rPr/>
        <w:t>DATA COLLECTION</w:t>
      </w:r>
    </w:p>
    <w:p>
      <w:pPr>
        <w:pStyle w:val="Normal"/>
        <w:ind w:start="720" w:end="0"/>
        <w:rPr>
          <w:rFonts w:ascii="Arial" w:hAnsi="Arial" w:cs="Arial"/>
          <w:sz w:val="24"/>
        </w:rPr>
      </w:pPr>
      <w:r>
        <w:rPr>
          <w:rFonts w:cs="Arial" w:ascii="Arial" w:hAnsi="Arial"/>
          <w:sz w:val="24"/>
        </w:rPr>
      </w:r>
    </w:p>
    <w:p>
      <w:pPr>
        <w:pStyle w:val="Normal"/>
        <w:numPr>
          <w:ilvl w:val="0"/>
          <w:numId w:val="6"/>
        </w:numPr>
        <w:jc w:val="both"/>
        <w:rPr>
          <w:rFonts w:ascii="Arial" w:hAnsi="Arial" w:cs="Arial"/>
          <w:sz w:val="24"/>
        </w:rPr>
      </w:pPr>
      <w:r>
        <w:rPr>
          <w:rFonts w:cs="Arial" w:ascii="Arial" w:hAnsi="Arial"/>
          <w:b/>
          <w:sz w:val="24"/>
          <w:u w:val="single"/>
        </w:rPr>
        <w:t>Feedback Form Distribution</w:t>
      </w:r>
      <w:r>
        <w:rPr>
          <w:rFonts w:cs="Arial" w:ascii="Arial" w:hAnsi="Arial"/>
          <w:sz w:val="24"/>
        </w:rPr>
        <w:t xml:space="preserve"> – The individuals that you have provided on your Team Selection Form will receive an on-line Feedback Form from FSD Data Services.   They will be asked to complete and return the form by a certain deadline to FSD (on-line). </w:t>
      </w:r>
    </w:p>
    <w:p>
      <w:pPr>
        <w:pStyle w:val="Normal"/>
        <w:rPr>
          <w:rFonts w:ascii="Arial" w:hAnsi="Arial" w:cs="Arial"/>
          <w:sz w:val="24"/>
        </w:rPr>
      </w:pPr>
      <w:r>
        <w:rPr>
          <w:rFonts w:cs="Arial" w:ascii="Arial" w:hAnsi="Arial"/>
          <w:sz w:val="24"/>
        </w:rPr>
      </w:r>
    </w:p>
    <w:p>
      <w:pPr>
        <w:pStyle w:val="Normal"/>
        <w:numPr>
          <w:ilvl w:val="0"/>
          <w:numId w:val="3"/>
        </w:numPr>
        <w:jc w:val="both"/>
        <w:rPr>
          <w:rFonts w:ascii="Arial" w:hAnsi="Arial" w:cs="Arial"/>
          <w:sz w:val="24"/>
        </w:rPr>
      </w:pPr>
      <w:r>
        <w:rPr>
          <w:rFonts w:cs="Arial" w:ascii="Arial" w:hAnsi="Arial"/>
          <w:b/>
          <w:sz w:val="24"/>
          <w:u w:val="single"/>
        </w:rPr>
        <w:t>Feedback Form Follow Up (Keilty Goldsmith &amp; Company)</w:t>
      </w:r>
      <w:r>
        <w:rPr>
          <w:rFonts w:cs="Arial" w:ascii="Arial" w:hAnsi="Arial"/>
          <w:sz w:val="24"/>
        </w:rPr>
        <w:t xml:space="preserve"> – Keilty Goldsmith &amp; Company will partner with FSD to review response rates.  The raters who have not responded on your behalf will receive reminder e-mails to encourage them to complete their feedback and return their form to FSD Data Services.   Every opportunity will be given to these raters to ensure that they respond.</w:t>
      </w:r>
    </w:p>
    <w:p>
      <w:pPr>
        <w:pStyle w:val="Normal"/>
        <w:jc w:val="both"/>
        <w:rPr>
          <w:rFonts w:ascii="Arial" w:hAnsi="Arial" w:cs="Arial"/>
          <w:sz w:val="24"/>
        </w:rPr>
      </w:pPr>
      <w:r>
        <w:rPr>
          <w:rFonts w:cs="Arial" w:ascii="Arial" w:hAnsi="Arial"/>
          <w:sz w:val="24"/>
        </w:rPr>
      </w:r>
    </w:p>
    <w:p>
      <w:pPr>
        <w:pStyle w:val="Normal"/>
        <w:numPr>
          <w:ilvl w:val="0"/>
          <w:numId w:val="3"/>
        </w:numPr>
        <w:spacing w:before="100" w:after="100"/>
        <w:jc w:val="both"/>
        <w:rPr>
          <w:rFonts w:ascii="Arial" w:hAnsi="Arial" w:cs="Arial"/>
          <w:sz w:val="24"/>
        </w:rPr>
      </w:pPr>
      <w:r>
        <w:rPr>
          <w:rFonts w:cs="Arial" w:ascii="Arial" w:hAnsi="Arial"/>
          <w:b/>
          <w:sz w:val="24"/>
          <w:u w:val="single"/>
        </w:rPr>
        <w:t>Program Withdrawal Policy</w:t>
      </w:r>
      <w:r>
        <w:rPr>
          <w:rFonts w:cs="Arial" w:ascii="Arial" w:hAnsi="Arial"/>
          <w:sz w:val="24"/>
        </w:rPr>
        <w:t xml:space="preserve"> – A member of the Executive Development Group will receive updates on a participants report status.  The participant will be notified prior to the deadline stated if the feedback response is insufficient for a good report. If by the deadline, the response level is too low for a report then the participant will have to be withdrawn from the program and rescheduled for another time.  If this becomes necessary, fees associated will be forfeited. </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t xml:space="preserve">MULTIDIRECTIONAL FEEDBACK </w:t>
      </w:r>
    </w:p>
    <w:p>
      <w:pPr>
        <w:pStyle w:val="Normal"/>
        <w:rPr>
          <w:rFonts w:ascii="Arial" w:hAnsi="Arial" w:cs="Arial"/>
          <w:b/>
          <w:sz w:val="24"/>
          <w:u w:val="single"/>
        </w:rPr>
      </w:pPr>
      <w:r>
        <w:rPr>
          <w:rFonts w:cs="Arial" w:ascii="Arial" w:hAnsi="Arial"/>
          <w:b/>
          <w:sz w:val="24"/>
          <w:u w:val="single"/>
        </w:rPr>
        <w:t>USE AND FOLLOW UP</w:t>
      </w:r>
    </w:p>
    <w:p>
      <w:pPr>
        <w:pStyle w:val="Normal"/>
        <w:rPr>
          <w:rFonts w:ascii="Arial" w:hAnsi="Arial" w:cs="Arial"/>
          <w:b/>
          <w:sz w:val="24"/>
          <w:u w:val="single"/>
        </w:rPr>
      </w:pPr>
      <w:r>
        <w:rPr>
          <w:rFonts w:cs="Arial" w:ascii="Arial" w:hAnsi="Arial"/>
          <w:b/>
          <w:sz w:val="24"/>
          <w:u w:val="single"/>
        </w:rPr>
      </w:r>
    </w:p>
    <w:p>
      <w:pPr>
        <w:pStyle w:val="Normal"/>
        <w:numPr>
          <w:ilvl w:val="0"/>
          <w:numId w:val="4"/>
        </w:numPr>
        <w:spacing w:before="100" w:after="100"/>
        <w:jc w:val="both"/>
        <w:rPr>
          <w:rFonts w:ascii="Arial" w:hAnsi="Arial" w:cs="Arial"/>
          <w:sz w:val="24"/>
        </w:rPr>
      </w:pPr>
      <w:r>
        <w:rPr>
          <w:rFonts w:cs="Arial" w:ascii="Arial" w:hAnsi="Arial"/>
          <w:b/>
          <w:sz w:val="24"/>
          <w:u w:val="single"/>
        </w:rPr>
        <w:t>Feedback Use</w:t>
      </w:r>
      <w:r>
        <w:rPr>
          <w:rFonts w:cs="Arial" w:ascii="Arial" w:hAnsi="Arial"/>
          <w:sz w:val="24"/>
        </w:rPr>
        <w:t xml:space="preserve"> – FSD Data Services (a subsidiary of Keilty Goldsmith &amp; Company) will tabulate the feedback, seal it and send it directly to the Keilty Goldsmith &amp; Company who will be conducting the program.  At the program, the staff will distribute and help interpret the individual feedback reports.  The current target is to allow for at least 45 minutes of individual counseling with each participant.</w:t>
        <w:br/>
      </w:r>
    </w:p>
    <w:p>
      <w:pPr>
        <w:pStyle w:val="Normal"/>
        <w:numPr>
          <w:ilvl w:val="0"/>
          <w:numId w:val="4"/>
        </w:numPr>
        <w:spacing w:before="100" w:after="100"/>
        <w:jc w:val="both"/>
        <w:rPr>
          <w:rFonts w:ascii="Arial" w:hAnsi="Arial" w:cs="Arial"/>
          <w:sz w:val="24"/>
        </w:rPr>
      </w:pPr>
      <w:r>
        <w:rPr>
          <w:rFonts w:cs="Arial" w:ascii="Arial" w:hAnsi="Arial"/>
          <w:b/>
          <w:sz w:val="24"/>
          <w:u w:val="single"/>
        </w:rPr>
        <w:t>Follow Up Survey</w:t>
      </w:r>
      <w:r>
        <w:rPr>
          <w:rFonts w:cs="Arial" w:ascii="Arial" w:hAnsi="Arial"/>
          <w:sz w:val="24"/>
        </w:rPr>
        <w:t xml:space="preserve"> – There will be a short follow up survey (4 - 8 items) approximately 6 months after the program.  The structure and focus of this survey will be part of what is agreed upon in the initial counseling session.  Keilty Goldsmith &amp; Company will handle this follow up survey as well.  The cost of this survey is included in your tuition.</w:t>
        <w:br/>
      </w:r>
    </w:p>
    <w:p>
      <w:pPr>
        <w:pStyle w:val="Normal"/>
        <w:numPr>
          <w:ilvl w:val="0"/>
          <w:numId w:val="4"/>
        </w:numPr>
        <w:jc w:val="both"/>
        <w:rPr>
          <w:rFonts w:ascii="Arial" w:hAnsi="Arial" w:cs="Arial"/>
          <w:sz w:val="24"/>
        </w:rPr>
      </w:pPr>
      <w:r>
        <w:rPr>
          <w:rFonts w:cs="Arial" w:ascii="Arial" w:hAnsi="Arial"/>
          <w:b/>
          <w:sz w:val="24"/>
          <w:u w:val="single"/>
        </w:rPr>
        <w:t>Follow Up Continued</w:t>
      </w:r>
      <w:r>
        <w:rPr>
          <w:rFonts w:cs="Arial" w:ascii="Arial" w:hAnsi="Arial"/>
          <w:b/>
          <w:sz w:val="24"/>
        </w:rPr>
        <w:t xml:space="preserve"> </w:t>
      </w:r>
      <w:r>
        <w:rPr>
          <w:rFonts w:cs="Arial" w:ascii="Arial" w:hAnsi="Arial"/>
          <w:sz w:val="24"/>
        </w:rPr>
        <w:t>– The opportunity for a short telephone conversation with the consultant at the 3, 6 and 9 month follow up times is part of the process if you are interested and have questions or concerns.  These conversations are included in the program cost as long as they are “reasonable in length” (on average 15 to 30 minutes).  If you request more significant help/follow up such as a personal meeting with the consultant, more frequent calls or much more lengthy calls, these would be billed to you separately, at a rate agreed upon by you and the consultant.</w:t>
        <w:br/>
      </w:r>
    </w:p>
    <w:p>
      <w:pPr>
        <w:pStyle w:val="BodyText"/>
        <w:jc w:val="both"/>
        <w:rPr>
          <w:rFonts w:ascii="Arial" w:hAnsi="Arial" w:cs="Arial"/>
        </w:rPr>
      </w:pPr>
      <w:r>
        <w:rPr>
          <w:rFonts w:cs="Arial" w:ascii="Arial" w:hAnsi="Arial"/>
        </w:rPr>
        <w:t>The structure of this follow up survey will include additional counseling to help you interpret the new data in comparison with the original data.</w:t>
      </w:r>
    </w:p>
    <w:p>
      <w:pPr>
        <w:pStyle w:val="Normal"/>
        <w:rPr>
          <w:rFonts w:ascii="Arial" w:hAnsi="Arial" w:cs="Arial"/>
          <w:sz w:val="24"/>
        </w:rPr>
      </w:pPr>
      <w:r>
        <w:rPr>
          <w:rFonts w:cs="Arial" w:ascii="Arial" w:hAnsi="Arial"/>
          <w:sz w:val="24"/>
        </w:rPr>
      </w:r>
    </w:p>
    <w:p>
      <w:pPr>
        <w:pStyle w:val="BodyText2"/>
        <w:rPr/>
      </w:pPr>
      <w:r>
        <w:rPr/>
        <w:t>As you can see, the Director-Level Impact &amp; Influence Program is not just an event.  It is a process for continuous improvement in executive effectiveness.  Research shows that significant positive improvement in personal impact and influence can take place for even the best managers, if the process is well applied.</w:t>
      </w:r>
    </w:p>
    <w:p>
      <w:pPr>
        <w:pStyle w:val="Normal"/>
        <w:pBdr>
          <w:top w:val="single" w:sz="4" w:space="0" w:color="000000"/>
        </w:pBdr>
        <w:jc w:val="both"/>
        <w:rPr>
          <w:rFonts w:ascii="Arial" w:hAnsi="Arial" w:cs="Arial"/>
          <w:sz w:val="24"/>
        </w:rPr>
      </w:pPr>
      <w:r>
        <w:rPr>
          <w:rFonts w:cs="Arial" w:ascii="Arial" w:hAnsi="Arial"/>
          <w:sz w:val="24"/>
        </w:rPr>
      </w:r>
    </w:p>
    <w:p>
      <w:pPr>
        <w:pStyle w:val="BodyText2"/>
        <w:rPr/>
      </w:pPr>
      <w:r>
        <w:rPr/>
        <w:t>For additional information and enrollment, please contact a member of the Executive Development Group:</w:t>
      </w:r>
    </w:p>
    <w:p>
      <w:pPr>
        <w:pStyle w:val="Normal"/>
        <w:rPr>
          <w:rFonts w:ascii="Arial" w:hAnsi="Arial" w:cs="Arial"/>
          <w:sz w:val="24"/>
        </w:rPr>
      </w:pPr>
      <w:r>
        <w:rPr>
          <w:rFonts w:cs="Arial" w:ascii="Arial" w:hAnsi="Arial"/>
          <w:sz w:val="24"/>
        </w:rPr>
      </w:r>
    </w:p>
    <w:p>
      <w:pPr>
        <w:pStyle w:val="Heading1"/>
        <w:tabs>
          <w:tab w:val="clear" w:pos="720"/>
          <w:tab w:val="left" w:pos="1440" w:leader="none"/>
        </w:tabs>
        <w:ind w:hanging="0" w:start="720" w:end="0"/>
        <w:rPr>
          <w:rFonts w:ascii="Arial" w:hAnsi="Arial" w:cs="Arial"/>
        </w:rPr>
      </w:pPr>
      <w:r>
        <w:rPr>
          <w:rFonts w:cs="Arial" w:ascii="Arial" w:hAnsi="Arial"/>
        </w:rPr>
        <w:t>Debbie Nowak  – Enrollments, 713.853.3304</w:t>
      </w:r>
    </w:p>
    <w:p>
      <w:pPr>
        <w:pStyle w:val="Normal"/>
        <w:rPr/>
      </w:pPr>
      <w:r>
        <w:rPr/>
        <w:tab/>
      </w:r>
      <w:r>
        <w:rPr>
          <w:rFonts w:cs="Arial" w:ascii="Arial" w:hAnsi="Arial"/>
          <w:sz w:val="24"/>
        </w:rPr>
        <w:t>Tom Wilbeck – Representative, 713.345.7536</w:t>
      </w:r>
    </w:p>
    <w:p>
      <w:pPr>
        <w:pStyle w:val="Header"/>
        <w:tabs>
          <w:tab w:val="clear" w:pos="4320"/>
          <w:tab w:val="clear" w:pos="8640"/>
        </w:tabs>
        <w:rPr/>
      </w:pPr>
      <w:r>
        <w:rPr/>
        <w:tab/>
      </w:r>
      <w:r>
        <w:rPr>
          <w:rFonts w:cs="Arial" w:ascii="Arial" w:hAnsi="Arial"/>
          <w:sz w:val="24"/>
        </w:rPr>
        <w:t>Gerry Gibson – Executive Development, 713.345.6806</w:t>
      </w:r>
    </w:p>
    <w:p>
      <w:pPr>
        <w:pStyle w:val="Normal"/>
        <w:tabs>
          <w:tab w:val="clear" w:pos="720"/>
          <w:tab w:val="left" w:pos="1440" w:leader="none"/>
        </w:tabs>
        <w:ind w:start="720" w:end="0"/>
        <w:rPr>
          <w:rFonts w:ascii="Arial" w:hAnsi="Arial" w:cs="Arial"/>
          <w:sz w:val="24"/>
        </w:rPr>
      </w:pPr>
      <w:r>
        <w:rPr>
          <w:rFonts w:cs="Arial" w:ascii="Arial" w:hAnsi="Arial"/>
          <w:sz w:val="24"/>
        </w:rPr>
      </w:r>
    </w:p>
    <w:p>
      <w:pPr>
        <w:pStyle w:val="Normal"/>
        <w:tabs>
          <w:tab w:val="clear" w:pos="720"/>
          <w:tab w:val="left" w:pos="1440" w:leader="none"/>
        </w:tabs>
        <w:ind w:start="720" w:end="0"/>
        <w:rPr>
          <w:rFonts w:ascii="Arial" w:hAnsi="Arial" w:cs="Arial"/>
          <w:sz w:val="24"/>
        </w:rPr>
      </w:pPr>
      <w:r>
        <w:rPr>
          <w:rFonts w:cs="Arial" w:ascii="Arial" w:hAnsi="Arial"/>
          <w:sz w:val="24"/>
        </w:rPr>
        <w:t>Enron Corp</w:t>
      </w:r>
    </w:p>
    <w:p>
      <w:pPr>
        <w:pStyle w:val="Normal"/>
        <w:tabs>
          <w:tab w:val="clear" w:pos="720"/>
          <w:tab w:val="left" w:pos="1440" w:leader="none"/>
        </w:tabs>
        <w:ind w:start="720" w:end="0"/>
        <w:rPr>
          <w:rFonts w:ascii="Arial" w:hAnsi="Arial" w:cs="Arial"/>
          <w:sz w:val="24"/>
        </w:rPr>
      </w:pPr>
      <w:r>
        <w:rPr>
          <w:rFonts w:cs="Arial" w:ascii="Arial" w:hAnsi="Arial"/>
          <w:sz w:val="24"/>
        </w:rPr>
        <w:t>1400 Smith Street</w:t>
      </w:r>
    </w:p>
    <w:p>
      <w:pPr>
        <w:pStyle w:val="Heading2"/>
        <w:rPr>
          <w:rFonts w:ascii="Arial" w:hAnsi="Arial" w:cs="Arial"/>
        </w:rPr>
      </w:pPr>
      <w:r>
        <w:rPr>
          <w:rFonts w:cs="Arial" w:ascii="Arial" w:hAnsi="Arial"/>
        </w:rPr>
        <w:t>Houston, TX  77002</w:t>
      </w:r>
    </w:p>
    <w:p>
      <w:pPr>
        <w:pStyle w:val="Normal"/>
        <w:tabs>
          <w:tab w:val="clear" w:pos="720"/>
          <w:tab w:val="left" w:pos="1440" w:leader="none"/>
        </w:tabs>
        <w:ind w:start="720" w:end="0"/>
        <w:rPr>
          <w:rFonts w:ascii="Arial" w:hAnsi="Arial" w:cs="Arial"/>
          <w:sz w:val="24"/>
        </w:rPr>
      </w:pPr>
      <w:r>
        <w:rPr>
          <w:rFonts w:cs="Arial" w:ascii="Arial" w:hAnsi="Arial"/>
          <w:sz w:val="24"/>
        </w:rPr>
        <w:t>Fax Number  (713) 646-8586</w:t>
      </w:r>
    </w:p>
    <w:p>
      <w:pPr>
        <w:pStyle w:val="Normal"/>
        <w:tabs>
          <w:tab w:val="clear" w:pos="720"/>
          <w:tab w:val="left" w:pos="3600" w:leader="none"/>
          <w:tab w:val="left" w:pos="6120" w:leader="dot"/>
        </w:tabs>
        <w:rPr>
          <w:rFonts w:ascii="Arial" w:hAnsi="Arial" w:cs="Arial"/>
          <w:sz w:val="24"/>
        </w:rPr>
      </w:pPr>
      <w:r>
        <w:rPr>
          <w:rFonts w:cs="Arial" w:ascii="Arial" w:hAnsi="Arial"/>
          <w:sz w:val="24"/>
        </w:rPr>
        <w:tab/>
      </w:r>
      <w:r>
        <w:br w:type="page"/>
      </w:r>
    </w:p>
    <w:p>
      <w:pPr>
        <w:pStyle w:val="Heading2"/>
        <w:jc w:val="center"/>
        <w:rPr>
          <w:rFonts w:ascii="Arial" w:hAnsi="Arial" w:cs="Arial"/>
          <w:b/>
        </w:rPr>
      </w:pPr>
      <w:r>
        <w:rPr>
          <w:rFonts w:cs="Arial" w:ascii="Arial" w:hAnsi="Arial"/>
          <w:b/>
        </w:rPr>
        <w:t>ENRON CORP – DIRECTOR-LEVEL ENROLLMENT FORM</w:t>
      </w:r>
    </w:p>
    <w:p>
      <w:pPr>
        <w:pStyle w:val="Header"/>
        <w:tabs>
          <w:tab w:val="clear" w:pos="4320"/>
          <w:tab w:val="clear" w:pos="8640"/>
        </w:tabs>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Please enroll me in:</w:t>
      </w:r>
    </w:p>
    <w:p>
      <w:pPr>
        <w:pStyle w:val="Heading4"/>
        <w:rPr>
          <w:rFonts w:ascii="Arial" w:hAnsi="Arial" w:cs="Arial"/>
          <w:sz w:val="20"/>
        </w:rPr>
      </w:pPr>
      <w:r>
        <w:rPr>
          <w:rFonts w:cs="Arial"/>
          <w:sz w:val="20"/>
        </w:rPr>
      </w:r>
    </w:p>
    <w:p>
      <w:pPr>
        <w:pStyle w:val="Heading4"/>
        <w:rPr/>
      </w:pPr>
      <w:r>
        <w:rPr/>
        <w:t xml:space="preserve">2001 Director-Level Impact &amp; Influence  </w:t>
      </w:r>
      <w:r>
        <w:rPr>
          <w:sz w:val="20"/>
        </w:rPr>
        <w:t>($2250)</w:t>
      </w:r>
    </w:p>
    <w:p>
      <w:pPr>
        <w:pStyle w:val="Normal"/>
        <w:rPr>
          <w:rFonts w:ascii="Arial" w:hAnsi="Arial" w:cs="Arial"/>
          <w:b/>
        </w:rPr>
      </w:pPr>
      <w:r>
        <w:rPr>
          <w:rFonts w:cs="Arial" w:ascii="Arial" w:hAnsi="Arial"/>
          <w:b/>
        </w:rPr>
        <w:t>*Please note that this program is designed for Enron’s Director-Levels.</w:t>
      </w:r>
    </w:p>
    <w:p>
      <w:pPr>
        <w:pStyle w:val="Normal"/>
        <w:numPr>
          <w:ilvl w:val="0"/>
          <w:numId w:val="2"/>
        </w:numPr>
        <w:ind w:hanging="360" w:start="720" w:end="0"/>
        <w:rPr>
          <w:rFonts w:ascii="Arial" w:hAnsi="Arial" w:cs="Arial"/>
          <w:sz w:val="22"/>
        </w:rPr>
      </w:pPr>
      <w:r>
        <mc:AlternateContent>
          <mc:Choice Requires="wps">
            <w:drawing>
              <wp:anchor behindDoc="0" distT="0" distB="0" distL="114935" distR="114935" simplePos="0" locked="0" layoutInCell="1" allowOverlap="1" relativeHeight="3">
                <wp:simplePos x="0" y="0"/>
                <wp:positionH relativeFrom="column">
                  <wp:posOffset>508635</wp:posOffset>
                </wp:positionH>
                <wp:positionV relativeFrom="paragraph">
                  <wp:posOffset>80010</wp:posOffset>
                </wp:positionV>
                <wp:extent cx="1257300" cy="0"/>
                <wp:effectExtent l="0" t="5080" r="0" b="5080"/>
                <wp:wrapNone/>
                <wp:docPr id="2" name=""/>
                <a:graphic xmlns:a="http://schemas.openxmlformats.org/drawingml/2006/main">
                  <a:graphicData uri="http://schemas.microsoft.com/office/word/2010/wordprocessingShape">
                    <wps:wsp>
                      <wps:cNvSpPr/>
                      <wps:spPr>
                        <a:xfrm>
                          <a:off x="0" y="0"/>
                          <a:ext cx="1257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05pt,6.3pt" to="139pt,6.3pt" stroked="t" o:allowincell="f" style="position:absolute">
                <v:stroke color="black" weight="9360" joinstyle="miter" endcap="flat"/>
                <v:fill o:detectmouseclick="t" on="false"/>
                <w10:wrap type="none"/>
              </v:line>
            </w:pict>
          </mc:Fallback>
        </mc:AlternateContent>
      </w:r>
      <w:r>
        <w:rPr>
          <w:rFonts w:cs="Arial" w:ascii="Arial" w:hAnsi="Arial"/>
          <w:sz w:val="22"/>
        </w:rPr>
        <w:t xml:space="preserve">May 16-17 (Houston) </w:t>
      </w:r>
    </w:p>
    <w:p>
      <w:pPr>
        <w:pStyle w:val="Normal"/>
        <w:numPr>
          <w:ilvl w:val="0"/>
          <w:numId w:val="2"/>
        </w:numPr>
        <w:ind w:hanging="360" w:start="720" w:end="0"/>
        <w:rPr>
          <w:rFonts w:ascii="Arial" w:hAnsi="Arial" w:cs="Arial"/>
          <w:sz w:val="22"/>
        </w:rPr>
      </w:pPr>
      <w:r>
        <w:rPr>
          <w:rFonts w:cs="Arial" w:ascii="Arial" w:hAnsi="Arial"/>
          <w:sz w:val="22"/>
        </w:rPr>
        <w:t>September 13-14, 2001 (Houston)</w:t>
      </w:r>
    </w:p>
    <w:p>
      <w:pPr>
        <w:pStyle w:val="Normal"/>
        <w:numPr>
          <w:ilvl w:val="0"/>
          <w:numId w:val="2"/>
        </w:numPr>
        <w:ind w:hanging="360" w:start="720" w:end="0"/>
        <w:rPr>
          <w:rFonts w:ascii="Arial" w:hAnsi="Arial" w:cs="Arial"/>
          <w:sz w:val="22"/>
        </w:rPr>
      </w:pPr>
      <w:r>
        <w:rPr>
          <w:rFonts w:cs="Arial" w:ascii="Arial" w:hAnsi="Arial"/>
          <w:sz w:val="22"/>
        </w:rPr>
        <w:t>November 8-9, 2001 (Houston)</w:t>
      </w:r>
    </w:p>
    <w:p>
      <w:pPr>
        <w:pStyle w:val="Normal"/>
        <w:ind w:start="360" w:end="0"/>
        <w:rPr>
          <w:rFonts w:ascii="Arial" w:hAnsi="Arial" w:cs="Arial"/>
          <w:sz w:val="22"/>
        </w:rPr>
      </w:pPr>
      <w:r>
        <w:rPr>
          <w:rFonts w:cs="Arial" w:ascii="Arial" w:hAnsi="Arial"/>
          <w:sz w:val="22"/>
        </w:rPr>
        <w:tab/>
        <w:tab/>
        <w:tab/>
      </w:r>
    </w:p>
    <w:p>
      <w:pPr>
        <w:pStyle w:val="Normal"/>
        <w:rPr>
          <w:rFonts w:ascii="Arial" w:hAnsi="Arial" w:cs="Arial"/>
          <w:b/>
          <w:sz w:val="22"/>
        </w:rPr>
      </w:pPr>
      <w:r>
        <w:rPr>
          <w:rFonts w:cs="Arial" w:ascii="Arial" w:hAnsi="Arial"/>
          <w:b/>
          <w:sz w:val="22"/>
        </w:rPr>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t>NAME:</w:t>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t>TITLE:</w:t>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t>INTERNET E-MAIL:</w:t>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t xml:space="preserve">COMPANY:                                      </w:t>
        <w:tab/>
        <w:tab/>
        <w:t xml:space="preserve"> BUSINESS UNIT: </w:t>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t>LOCATION:</w:t>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t xml:space="preserve">PHONE:                                           </w:t>
        <w:tab/>
        <w:tab/>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rPr>
        <w:t>SOCIAL SECURITY NUMBER (if applicable):</w:t>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t xml:space="preserve">ASSISTANT NAME:                              </w:t>
        <w:tab/>
        <w:tab/>
        <w:t>PHONE:</w:t>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t xml:space="preserve">COMPANY #:                                     </w:t>
        <w:tab/>
        <w:tab/>
        <w:t>COST CENTER #:</w:t>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t>HOW DID YOU HEAR ABOUT THIS PROGRAM?</w:t>
      </w:r>
    </w:p>
    <w:p>
      <w:pPr>
        <w:pStyle w:val="Normal"/>
        <w:pBdr>
          <w:top w:val="single" w:sz="6" w:space="1" w:color="000000"/>
          <w:left w:val="single" w:sz="6" w:space="4" w:color="000000"/>
          <w:bottom w:val="single" w:sz="6" w:space="1" w:color="000000"/>
          <w:right w:val="single" w:sz="6" w:space="4"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both"/>
        <w:rPr/>
      </w:pPr>
      <w:r>
        <w:rPr>
          <w:rFonts w:cs="Arial" w:ascii="Arial" w:hAnsi="Arial"/>
          <w:b/>
        </w:rPr>
        <w:t>______ (please initial)</w:t>
      </w:r>
      <w:r>
        <w:rPr>
          <w:rFonts w:cs="Arial" w:ascii="Arial" w:hAnsi="Arial"/>
        </w:rPr>
        <w:t xml:space="preserve">  Once I enroll, my cost center will be charged ($2250) for the Director-Level Impact &amp; Influence Program.  These fees are neither refundable nor transferable.</w:t>
      </w:r>
    </w:p>
    <w:p>
      <w:pPr>
        <w:pStyle w:val="BodyText"/>
        <w:jc w:val="both"/>
        <w:rPr>
          <w:rFonts w:ascii="Arial" w:hAnsi="Arial" w:cs="Arial"/>
          <w:b/>
          <w:i/>
          <w:i/>
          <w:sz w:val="20"/>
        </w:rPr>
      </w:pPr>
      <w:r>
        <w:rPr>
          <w:rFonts w:cs="Arial" w:ascii="Arial" w:hAnsi="Arial"/>
          <w:b/>
          <w:i/>
          <w:sz w:val="20"/>
        </w:rPr>
      </w:r>
    </w:p>
    <w:p>
      <w:pPr>
        <w:pStyle w:val="BodyText"/>
        <w:jc w:val="both"/>
        <w:rPr/>
      </w:pPr>
      <w:r>
        <w:rPr>
          <w:rFonts w:cs="Arial" w:ascii="Arial" w:hAnsi="Arial"/>
          <w:i/>
          <w:sz w:val="20"/>
        </w:rPr>
        <w:t xml:space="preserve">Please complete </w:t>
      </w:r>
      <w:r>
        <w:rPr>
          <w:rFonts w:cs="Arial" w:ascii="Arial" w:hAnsi="Arial"/>
          <w:b/>
          <w:i/>
          <w:sz w:val="20"/>
        </w:rPr>
        <w:t>ALL FIELDS</w:t>
      </w:r>
      <w:r>
        <w:rPr>
          <w:rFonts w:cs="Arial" w:ascii="Arial" w:hAnsi="Arial"/>
          <w:i/>
          <w:sz w:val="20"/>
        </w:rPr>
        <w:t xml:space="preserve"> and submit to Debbie Nowak via </w:t>
      </w:r>
      <w:r>
        <w:rPr>
          <w:rFonts w:cs="Arial" w:ascii="Arial" w:hAnsi="Arial"/>
          <w:b/>
          <w:i/>
          <w:sz w:val="20"/>
        </w:rPr>
        <w:t xml:space="preserve">fax at </w:t>
      </w:r>
      <w:r>
        <w:rPr>
          <w:rFonts w:cs="Arial" w:ascii="Arial" w:hAnsi="Arial"/>
          <w:b/>
          <w:i/>
          <w:sz w:val="20"/>
          <w:u w:val="single"/>
        </w:rPr>
        <w:t>713-646-8586</w:t>
      </w:r>
      <w:r>
        <w:rPr>
          <w:rFonts w:cs="Arial" w:ascii="Arial" w:hAnsi="Arial"/>
          <w:b/>
          <w:i/>
          <w:sz w:val="20"/>
        </w:rPr>
        <w:t>.</w:t>
      </w:r>
      <w:r>
        <w:rPr>
          <w:rFonts w:cs="Arial" w:ascii="Arial" w:hAnsi="Arial"/>
          <w:i/>
          <w:sz w:val="20"/>
        </w:rPr>
        <w:t xml:space="preserve">  You will receive a confirmation verifying your enrollment.</w:t>
      </w:r>
    </w:p>
    <w:p>
      <w:pPr>
        <w:pStyle w:val="BodyText2"/>
        <w:rPr>
          <w:rFonts w:ascii="Arial" w:hAnsi="Arial" w:cs="Arial"/>
          <w:i/>
          <w:i/>
          <w:sz w:val="20"/>
        </w:rPr>
      </w:pPr>
      <w:r>
        <w:rPr>
          <w:rFonts w:cs="Arial"/>
          <w:i/>
          <w:sz w:val="20"/>
        </w:rPr>
      </w:r>
    </w:p>
    <w:p>
      <w:pPr>
        <w:pStyle w:val="BodyText2"/>
        <w:jc w:val="start"/>
        <w:rPr>
          <w:sz w:val="20"/>
        </w:rPr>
      </w:pPr>
      <w:r>
        <w:rPr>
          <w:i/>
          <w:sz w:val="20"/>
        </w:rPr>
        <w:t>If you have any questions, please contact Debbie Nowak at 713-853-3304.</w:t>
      </w:r>
    </w:p>
    <w:p>
      <w:pPr>
        <w:pStyle w:val="Normal"/>
        <w:jc w:val="both"/>
        <w:rPr>
          <w:rFonts w:ascii="Arial" w:hAnsi="Arial" w:cs="Arial"/>
          <w:sz w:val="24"/>
        </w:rPr>
      </w:pPr>
      <w:r>
        <w:rPr>
          <w:rFonts w:cs="Arial" w:ascii="Arial" w:hAnsi="Arial"/>
          <w:sz w:val="24"/>
        </w:rPr>
      </w:r>
    </w:p>
    <w:sectPr>
      <w:headerReference w:type="default" r:id="rId3"/>
      <w:headerReference w:type="first" r:id="rId4"/>
      <w:footerReference w:type="default" r:id="rId5"/>
      <w:footerReference w:type="first" r:id="rId6"/>
      <w:type w:val="nextPage"/>
      <w:pgSz w:w="12240" w:h="15840"/>
      <w:pgMar w:left="1440" w:right="144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Comic Sans MS">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tabs>
        <w:tab w:val="clear" w:pos="4320"/>
        <w:tab w:val="clear" w:pos="8640"/>
        <w:tab w:val="right" w:pos="9360" w:leader="none"/>
      </w:tabs>
      <w:rPr/>
    </w:pPr>
    <w:r>
      <w:rPr>
        <w:rFonts w:cs="Comic Sans MS" w:ascii="Comic Sans MS" w:hAnsi="Comic Sans MS"/>
        <w:sz w:val="16"/>
      </w:rPr>
      <w:t>dmc/IMPACT.DOC</w:t>
    </w:r>
    <w:r>
      <w:rPr>
        <w:sz w:val="16"/>
      </w:rPr>
      <w:tab/>
    </w:r>
    <w:r>
      <w:rPr>
        <w:rFonts w:cs="Comic Sans MS" w:ascii="Comic Sans MS" w:hAnsi="Comic Sans MS"/>
        <w:sz w:val="16"/>
      </w:rPr>
      <w:t xml:space="preserve">Page </w:t>
    </w:r>
    <w:r>
      <w:rPr>
        <w:rStyle w:val="PageNumber"/>
        <w:rFonts w:cs="Comic Sans MS" w:ascii="Comic Sans MS" w:hAnsi="Comic Sans MS"/>
        <w:sz w:val="16"/>
      </w:rPr>
      <w:fldChar w:fldCharType="begin"/>
    </w:r>
    <w:r>
      <w:rPr>
        <w:rStyle w:val="PageNumber"/>
        <w:sz w:val="16"/>
        <w:rFonts w:cs="Comic Sans MS" w:ascii="Comic Sans MS" w:hAnsi="Comic Sans MS"/>
      </w:rPr>
      <w:instrText xml:space="preserve"> PAGE </w:instrText>
    </w:r>
    <w:r>
      <w:rPr>
        <w:rStyle w:val="PageNumber"/>
        <w:sz w:val="16"/>
        <w:rFonts w:cs="Comic Sans MS" w:ascii="Comic Sans MS" w:hAnsi="Comic Sans MS"/>
      </w:rPr>
      <w:fldChar w:fldCharType="separate"/>
    </w:r>
    <w:r>
      <w:rPr>
        <w:rStyle w:val="PageNumber"/>
        <w:sz w:val="16"/>
        <w:rFonts w:cs="Comic Sans MS" w:ascii="Comic Sans MS" w:hAnsi="Comic Sans MS"/>
      </w:rPr>
      <w:t>5</w:t>
    </w:r>
    <w:r>
      <w:rPr>
        <w:rStyle w:val="PageNumber"/>
        <w:sz w:val="16"/>
        <w:rFonts w:cs="Comic Sans MS" w:ascii="Comic Sans MS" w:hAnsi="Comic Sans MS"/>
      </w:rPr>
      <w:fldChar w:fldCharType="end"/>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tabs>
        <w:tab w:val="clear" w:pos="4320"/>
        <w:tab w:val="clear" w:pos="8640"/>
      </w:tabs>
      <w:rPr/>
    </w:pPr>
    <w:r>
      <w:rPr>
        <w:rFonts w:cs="Bookman Old Style" w:ascii="Bookman Old Style" w:hAnsi="Bookman Old Style"/>
        <w:sz w:val="16"/>
      </w:rPr>
      <w:t>dnowak/impact 2001.doc</w:t>
      <w:tab/>
      <w:tab/>
      <w:tab/>
      <w:tab/>
      <w:tab/>
      <w:tab/>
      <w:tab/>
      <w:tab/>
      <w:tab/>
      <w:tab/>
      <w:t xml:space="preserve">Page </w:t>
    </w:r>
    <w:r>
      <w:rPr>
        <w:rStyle w:val="PageNumber"/>
        <w:rFonts w:cs="Bookman Old Style" w:ascii="Bookman Old Style" w:hAnsi="Bookman Old Style"/>
        <w:sz w:val="16"/>
      </w:rPr>
      <w:fldChar w:fldCharType="begin"/>
    </w:r>
    <w:r>
      <w:rPr>
        <w:rStyle w:val="PageNumber"/>
        <w:sz w:val="16"/>
        <w:rFonts w:cs="Bookman Old Style" w:ascii="Bookman Old Style" w:hAnsi="Bookman Old Style"/>
      </w:rPr>
      <w:instrText xml:space="preserve"> PAGE </w:instrText>
    </w:r>
    <w:r>
      <w:rPr>
        <w:rStyle w:val="PageNumber"/>
        <w:sz w:val="16"/>
        <w:rFonts w:cs="Bookman Old Style" w:ascii="Bookman Old Style" w:hAnsi="Bookman Old Style"/>
      </w:rPr>
      <w:fldChar w:fldCharType="separate"/>
    </w:r>
    <w:r>
      <w:rPr>
        <w:rStyle w:val="PageNumber"/>
        <w:sz w:val="16"/>
        <w:rFonts w:cs="Bookman Old Style" w:ascii="Bookman Old Style" w:hAnsi="Bookman Old Style"/>
      </w:rPr>
      <w:t>1</w:t>
    </w:r>
    <w:r>
      <w:rPr>
        <w:rStyle w:val="PageNumber"/>
        <w:sz w:val="16"/>
        <w:rFonts w:cs="Bookman Old Style" w:ascii="Bookman Old Style" w:hAnsi="Bookman Old Style"/>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Bookman Old Style" w:hAnsi="Bookman Old Style" w:cs="Bookman Old Style"/>
        <w:sz w:val="16"/>
      </w:rPr>
    </w:pPr>
    <w:r>
      <w:rPr>
        <w:rFonts w:cs="Bookman Old Style" w:ascii="Bookman Old Style" w:hAnsi="Bookman Old Style"/>
        <w:sz w:val="16"/>
      </w:rPr>
      <w:t>Executive Impact &amp; Influence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
      <w:lvlJc w:val="start"/>
      <w:pPr>
        <w:tabs>
          <w:tab w:val="num" w:pos="360"/>
        </w:tabs>
        <w:ind w:start="360" w:hanging="360"/>
      </w:pPr>
      <w:rPr>
        <w:sz w:val="28"/>
        <w:i w:val="false"/>
        <w:b w:val="false"/>
      </w:rPr>
    </w:lvl>
  </w:abstractNum>
  <w:abstractNum w:abstractNumId="5">
    <w:lvl w:ilvl="0">
      <w:start w:val="1"/>
      <w:numFmt w:val="decimal"/>
      <w:lvlText w:val="%1. "/>
      <w:lvlJc w:val="start"/>
      <w:pPr>
        <w:tabs>
          <w:tab w:val="num" w:pos="360"/>
        </w:tabs>
        <w:ind w:start="360" w:hanging="360"/>
      </w:pPr>
      <w:rPr>
        <w:sz w:val="28"/>
        <w:i w:val="false"/>
        <w:b w:val="false"/>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Bookman Old Style" w:hAnsi="Bookman Old Style" w:cs="Bookman Old Style"/>
      <w:sz w:val="24"/>
    </w:rPr>
  </w:style>
  <w:style w:type="paragraph" w:styleId="Heading2">
    <w:name w:val="heading 2"/>
    <w:basedOn w:val="Normal"/>
    <w:next w:val="Normal"/>
    <w:qFormat/>
    <w:pPr>
      <w:keepNext w:val="true"/>
      <w:numPr>
        <w:ilvl w:val="1"/>
        <w:numId w:val="1"/>
      </w:numPr>
      <w:tabs>
        <w:tab w:val="clear" w:pos="720"/>
        <w:tab w:val="left" w:pos="1440" w:leader="none"/>
      </w:tabs>
      <w:ind w:hanging="0" w:start="720" w:end="0"/>
      <w:outlineLvl w:val="1"/>
    </w:pPr>
    <w:rPr>
      <w:rFonts w:ascii="Bookman Old Style" w:hAnsi="Bookman Old Style" w:cs="Bookman Old Style"/>
      <w:sz w:val="24"/>
    </w:rPr>
  </w:style>
  <w:style w:type="paragraph" w:styleId="Heading3">
    <w:name w:val="heading 3"/>
    <w:basedOn w:val="Normal"/>
    <w:next w:val="Normal"/>
    <w:qFormat/>
    <w:pPr>
      <w:keepNext w:val="true"/>
      <w:widowControl w:val="false"/>
      <w:numPr>
        <w:ilvl w:val="2"/>
        <w:numId w:val="1"/>
      </w:numPr>
      <w:outlineLvl w:val="2"/>
    </w:pPr>
    <w:rPr>
      <w:rFonts w:ascii="Bookman Old Style" w:hAnsi="Bookman Old Style" w:cs="Bookman Old Style"/>
      <w:b/>
      <w:sz w:val="24"/>
      <w:u w:val="single"/>
    </w:rPr>
  </w:style>
  <w:style w:type="paragraph" w:styleId="Heading4">
    <w:name w:val="heading 4"/>
    <w:basedOn w:val="Normal"/>
    <w:next w:val="Normal"/>
    <w:qFormat/>
    <w:pPr>
      <w:keepNext w:val="true"/>
      <w:numPr>
        <w:ilvl w:val="3"/>
        <w:numId w:val="1"/>
      </w:numPr>
      <w:ind w:firstLine="360" w:start="0" w:end="0"/>
      <w:outlineLvl w:val="3"/>
    </w:pPr>
    <w:rPr>
      <w:rFonts w:ascii="Arial" w:hAnsi="Arial" w:cs="Arial"/>
      <w:b/>
      <w:sz w:val="24"/>
      <w:u w:val="single"/>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b w:val="false"/>
      <w:i w:val="false"/>
      <w:sz w:val="28"/>
    </w:rPr>
  </w:style>
  <w:style w:type="character" w:styleId="WW8Num7z0">
    <w:name w:val="WW8Num7z0"/>
    <w:qFormat/>
    <w:rPr>
      <w:b w:val="false"/>
      <w:i w:val="false"/>
      <w:sz w:val="28"/>
    </w:rPr>
  </w:style>
  <w:style w:type="character" w:styleId="WW8Num8z0">
    <w:name w:val="WW8Num8z0"/>
    <w:qFormat/>
    <w:rPr>
      <w:rFonts w:ascii="Symbol" w:hAnsi="Symbol" w:cs="Symbol"/>
    </w:rPr>
  </w:style>
  <w:style w:type="character" w:styleId="WW8NumSt1z0">
    <w:name w:val="WW8NumSt1z0"/>
    <w:qFormat/>
    <w:rPr>
      <w:rFonts w:ascii="Wingdings" w:hAnsi="Wingdings" w:cs="Wingdings"/>
      <w:b w:val="false"/>
      <w:i w:val="false"/>
      <w:sz w:val="2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man Old Style" w:hAnsi="Bookman Old Style" w:cs="Bookman Old Style"/>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24"/>
    </w:rPr>
  </w:style>
  <w:style w:type="paragraph" w:styleId="BodyTextIndent">
    <w:name w:val="Body Text Indent"/>
    <w:basedOn w:val="Normal"/>
    <w:pPr>
      <w:ind w:hanging="0" w:start="720" w:end="0"/>
      <w:jc w:val="both"/>
    </w:pPr>
    <w:rPr>
      <w:rFonts w:ascii="Arial" w:hAnsi="Arial" w:cs="Arial"/>
      <w:sz w:val="24"/>
    </w:rPr>
  </w:style>
  <w:style w:type="paragraph" w:styleId="BodyTextIndent2">
    <w:name w:val="Body Text Indent 2"/>
    <w:basedOn w:val="Normal"/>
    <w:qFormat/>
    <w:pPr>
      <w:ind w:hanging="0" w:start="360" w:end="0"/>
      <w:jc w:val="both"/>
    </w:pPr>
    <w:rPr>
      <w:rFonts w:ascii="Arial" w:hAnsi="Arial" w:cs="Arial"/>
      <w:sz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2001-07-16T11:00:00Z</dcterms:created>
  <dc:creator>Human Resources</dc:creator>
  <dc:description/>
  <dc:language>en-CA</dc:language>
  <cp:lastModifiedBy>ffagan</cp:lastModifiedBy>
  <cp:lastPrinted>2000-10-12T11:07:00Z</cp:lastPrinted>
  <dcterms:modified xsi:type="dcterms:W3CDTF">2001-07-16T11:00:00Z</dcterms:modified>
  <cp:revision>2</cp:revision>
  <dc:subject/>
  <dc:title>Executive impact &amp; influence program</dc:title>
</cp:coreProperties>
</file>