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jc w:val="center"/>
        <w:rPr/>
      </w:pPr>
      <w:r>
        <w:rPr/>
      </w:r>
    </w:p>
    <w:p>
      <w:pPr>
        <w:pStyle w:val="Normal"/>
        <w:jc w:val="center"/>
        <w:rPr/>
      </w:pPr>
      <w:r>
        <w:rPr/>
      </w:r>
    </w:p>
    <w:p>
      <w:pPr>
        <w:pStyle w:val="Normal"/>
        <w:jc w:val="center"/>
        <w:rPr/>
      </w:pPr>
      <w:r>
        <w:rPr/>
        <w:t>PITNEY, HARDIN, KIPP &amp; SZUCH LLP</w:t>
      </w:r>
    </w:p>
    <w:p>
      <w:pPr>
        <w:pStyle w:val="Normal"/>
        <w:jc w:val="center"/>
        <w:rPr/>
      </w:pPr>
      <w:r>
        <w:rPr/>
        <w:t>MEMORANDUM</w:t>
      </w:r>
    </w:p>
    <w:p>
      <w:pPr>
        <w:pStyle w:val="Normal"/>
        <w:jc w:val="center"/>
        <w:rPr/>
      </w:pPr>
      <w:r>
        <w:rPr/>
      </w:r>
    </w:p>
    <w:p>
      <w:pPr>
        <w:pStyle w:val="Normal"/>
        <w:jc w:val="center"/>
        <w:rPr/>
      </w:pPr>
      <w:r>
        <w:rPr/>
      </w:r>
    </w:p>
    <w:tbl>
      <w:tblPr>
        <w:tblW w:w="9738" w:type="dxa"/>
        <w:jc w:val="start"/>
        <w:tblInd w:w="0" w:type="dxa"/>
        <w:tblLayout w:type="fixed"/>
        <w:tblCellMar>
          <w:top w:w="0" w:type="dxa"/>
          <w:start w:w="108" w:type="dxa"/>
          <w:bottom w:w="0" w:type="dxa"/>
          <w:end w:w="108" w:type="dxa"/>
        </w:tblCellMar>
      </w:tblPr>
      <w:tblGrid>
        <w:gridCol w:w="1188"/>
        <w:gridCol w:w="4770"/>
        <w:gridCol w:w="1170"/>
        <w:gridCol w:w="2610"/>
      </w:tblGrid>
      <w:tr>
        <w:trPr/>
        <w:tc>
          <w:tcPr>
            <w:tcW w:w="1188" w:type="dxa"/>
            <w:tcBorders/>
          </w:tcPr>
          <w:p>
            <w:pPr>
              <w:pStyle w:val="Normal"/>
              <w:spacing w:before="240" w:after="0"/>
              <w:jc w:val="end"/>
              <w:rPr>
                <w:rFonts w:ascii="Arial" w:hAnsi="Arial" w:cs="Arial"/>
              </w:rPr>
            </w:pPr>
            <w:r>
              <w:rPr>
                <w:rFonts w:cs="Arial" w:ascii="Arial" w:hAnsi="Arial"/>
              </w:rPr>
              <w:t>To:</w:t>
            </w:r>
          </w:p>
        </w:tc>
        <w:tc>
          <w:tcPr>
            <w:tcW w:w="4770" w:type="dxa"/>
            <w:tcBorders/>
          </w:tcPr>
          <w:p>
            <w:pPr>
              <w:pStyle w:val="Normal"/>
              <w:snapToGrid w:val="false"/>
              <w:rPr>
                <w:rFonts w:ascii="Arial" w:hAnsi="Arial" w:cs="Arial"/>
              </w:rPr>
            </w:pPr>
            <w:r>
              <w:rPr>
                <w:rFonts w:cs="Arial" w:ascii="Arial" w:hAnsi="Arial"/>
              </w:rPr>
            </w:r>
            <w:bookmarkStart w:id="0" w:name="To"/>
            <w:bookmarkStart w:id="1" w:name="To"/>
            <w:bookmarkEnd w:id="1"/>
          </w:p>
          <w:p>
            <w:pPr>
              <w:pStyle w:val="Normal"/>
              <w:rPr/>
            </w:pPr>
            <w:r>
              <w:rPr/>
              <w:t>Marty Blick</w:t>
              <w:tab/>
              <w:br/>
              <w:t>Michelle Cash, Esq.</w:t>
            </w:r>
          </w:p>
          <w:p>
            <w:pPr>
              <w:pStyle w:val="Normal"/>
              <w:spacing w:before="240" w:after="0"/>
              <w:rPr/>
            </w:pPr>
            <w:r>
              <w:rPr/>
            </w:r>
          </w:p>
        </w:tc>
        <w:tc>
          <w:tcPr>
            <w:tcW w:w="1170" w:type="dxa"/>
            <w:tcBorders/>
          </w:tcPr>
          <w:p>
            <w:pPr>
              <w:pStyle w:val="Normal"/>
              <w:spacing w:before="240" w:after="0"/>
              <w:jc w:val="end"/>
              <w:rPr>
                <w:rFonts w:ascii="Arial" w:hAnsi="Arial" w:cs="Arial"/>
              </w:rPr>
            </w:pPr>
            <w:r>
              <w:rPr>
                <w:rFonts w:cs="Arial" w:ascii="Arial" w:hAnsi="Arial"/>
              </w:rPr>
              <w:t>Date:</w:t>
            </w:r>
          </w:p>
        </w:tc>
        <w:tc>
          <w:tcPr>
            <w:tcW w:w="2610" w:type="dxa"/>
            <w:tcBorders/>
          </w:tcPr>
          <w:p>
            <w:pPr>
              <w:pStyle w:val="Normal"/>
              <w:spacing w:before="240" w:after="0"/>
              <w:rPr/>
            </w:pPr>
            <w:bookmarkStart w:id="2" w:name="Date"/>
            <w:bookmarkEnd w:id="2"/>
            <w:r>
              <w:rPr/>
              <w:t>September 20, 2000</w:t>
            </w:r>
          </w:p>
        </w:tc>
      </w:tr>
      <w:tr>
        <w:trPr/>
        <w:tc>
          <w:tcPr>
            <w:tcW w:w="1188" w:type="dxa"/>
            <w:tcBorders/>
          </w:tcPr>
          <w:p>
            <w:pPr>
              <w:pStyle w:val="Normal"/>
              <w:spacing w:before="240" w:after="0"/>
              <w:jc w:val="end"/>
              <w:rPr>
                <w:rFonts w:ascii="Arial" w:hAnsi="Arial" w:cs="Arial"/>
              </w:rPr>
            </w:pPr>
            <w:r>
              <w:rPr>
                <w:rFonts w:cs="Arial" w:ascii="Arial" w:hAnsi="Arial"/>
              </w:rPr>
              <w:t>From:</w:t>
            </w:r>
          </w:p>
        </w:tc>
        <w:tc>
          <w:tcPr>
            <w:tcW w:w="4770" w:type="dxa"/>
            <w:tcBorders/>
          </w:tcPr>
          <w:p>
            <w:pPr>
              <w:pStyle w:val="Normal"/>
              <w:spacing w:before="240" w:after="0"/>
              <w:rPr/>
            </w:pPr>
            <w:bookmarkStart w:id="3" w:name="From"/>
            <w:bookmarkEnd w:id="3"/>
            <w:r>
              <w:rPr/>
              <w:t>Patrick McCarthy, Esq.</w:t>
            </w:r>
          </w:p>
        </w:tc>
        <w:tc>
          <w:tcPr>
            <w:tcW w:w="1170" w:type="dxa"/>
            <w:tcBorders/>
          </w:tcPr>
          <w:p>
            <w:pPr>
              <w:pStyle w:val="Normal"/>
              <w:spacing w:before="240" w:after="0"/>
              <w:jc w:val="end"/>
              <w:rPr>
                <w:rFonts w:ascii="Arial" w:hAnsi="Arial" w:cs="Arial"/>
              </w:rPr>
            </w:pPr>
            <w:r>
              <w:rPr>
                <w:rFonts w:cs="Arial" w:ascii="Arial" w:hAnsi="Arial"/>
              </w:rPr>
              <w:t>Copy To:</w:t>
            </w:r>
          </w:p>
        </w:tc>
        <w:tc>
          <w:tcPr>
            <w:tcW w:w="2610" w:type="dxa"/>
            <w:tcBorders/>
          </w:tcPr>
          <w:p>
            <w:pPr>
              <w:pStyle w:val="Normal"/>
              <w:snapToGrid w:val="false"/>
              <w:spacing w:before="240" w:after="0"/>
              <w:rPr>
                <w:rFonts w:ascii="Arial" w:hAnsi="Arial" w:cs="Arial"/>
              </w:rPr>
            </w:pPr>
            <w:r>
              <w:rPr>
                <w:rFonts w:cs="Arial" w:ascii="Arial" w:hAnsi="Arial"/>
              </w:rPr>
            </w:r>
            <w:bookmarkStart w:id="4" w:name="cc"/>
            <w:bookmarkStart w:id="5" w:name="cc"/>
            <w:bookmarkEnd w:id="5"/>
          </w:p>
        </w:tc>
      </w:tr>
      <w:tr>
        <w:trPr/>
        <w:tc>
          <w:tcPr>
            <w:tcW w:w="1188" w:type="dxa"/>
            <w:tcBorders/>
          </w:tcPr>
          <w:p>
            <w:pPr>
              <w:pStyle w:val="Normal"/>
              <w:spacing w:before="240" w:after="0"/>
              <w:jc w:val="end"/>
              <w:rPr>
                <w:rFonts w:ascii="Arial" w:hAnsi="Arial" w:cs="Arial"/>
              </w:rPr>
            </w:pPr>
            <w:r>
              <w:rPr>
                <w:rFonts w:cs="Arial" w:ascii="Arial" w:hAnsi="Arial"/>
              </w:rPr>
              <w:t>Subject:</w:t>
            </w:r>
          </w:p>
        </w:tc>
        <w:tc>
          <w:tcPr>
            <w:tcW w:w="8550" w:type="dxa"/>
            <w:gridSpan w:val="3"/>
            <w:tcBorders/>
          </w:tcPr>
          <w:p>
            <w:pPr>
              <w:pStyle w:val="Normal"/>
              <w:spacing w:before="240" w:after="0"/>
              <w:rPr/>
            </w:pPr>
            <w:bookmarkStart w:id="6" w:name="Re"/>
            <w:bookmarkEnd w:id="6"/>
            <w:r>
              <w:rPr/>
              <w:t>Closing of Thruway Recycling Center</w:t>
            </w:r>
          </w:p>
        </w:tc>
      </w:tr>
    </w:tbl>
    <w:p>
      <w:pPr>
        <w:pStyle w:val="Normal"/>
        <w:rPr/>
      </w:pPr>
      <w:r>
        <w:rPr/>
      </w:r>
    </w:p>
    <w:p>
      <w:pPr>
        <w:pStyle w:val="Normal"/>
        <w:rPr/>
      </w:pPr>
      <w:r>
        <w:rPr/>
      </w:r>
    </w:p>
    <w:p>
      <w:pPr>
        <w:pStyle w:val="Normal"/>
        <w:rPr/>
      </w:pPr>
      <w:r>
        <w:rPr/>
      </w:r>
    </w:p>
    <w:p>
      <w:pPr>
        <w:pStyle w:val="Normal"/>
        <w:spacing w:lineRule="auto" w:line="480"/>
        <w:rPr/>
      </w:pPr>
      <w:r>
        <w:rPr/>
        <w:tab/>
        <w:t>This memorandum is meant to identify and suggest resolutions for the legal considerations related to labor and employment laws likely implicated by a closure of the Company’s Thruway Recycling Center (“Thruway”).  Garden State Paper Recycling (“GSP Recycling”), a division of Garden State Paper Company, LLC, operates from a number of locations in northern New Jersey and New York states.  Thruway is located in Suffern, New York, approximately 25 miles from Paterson, New Jersey where GSP Recycling’s principal facility is located.   Two other satellite facilities are located in Edison and Port Carteret, New Jersey, both considerable commutes from Thruway.  There are less than fifty employees at Thruway and no reduction-in-force has occurred there in the prior six months.  The production workers at these four locations are covered by a single collective bargaining agreement (“CBA”) with the Paper, Allied, Industrial, Chemical and Energy Workers, Local Union #300 which runs through May 31, 2002.  In addition to the production workers, there are some salaried employees at Thruway.  Four salaried employees will be terminated.  It is anticipated that the production workers will be given work at the Paterson facility incidental to the consolidation of Thruway’s work elsewhere within GSP Recycling.  It is expected that some Thruway production workers will decline the transfer to Paterson due to the commute.  The following advice is based on the foregoing facts.</w:t>
      </w:r>
    </w:p>
    <w:p>
      <w:pPr>
        <w:pStyle w:val="Normal"/>
        <w:keepNext w:val="true"/>
        <w:spacing w:lineRule="auto" w:line="480"/>
        <w:jc w:val="center"/>
        <w:rPr>
          <w:u w:val="single"/>
        </w:rPr>
      </w:pPr>
      <w:r>
        <w:rPr>
          <w:u w:val="single"/>
        </w:rPr>
        <w:t>ANALYSIS</w:t>
      </w:r>
    </w:p>
    <w:p>
      <w:pPr>
        <w:pStyle w:val="Normal"/>
        <w:keepNext w:val="true"/>
        <w:spacing w:lineRule="auto" w:line="480"/>
        <w:jc w:val="start"/>
        <w:rPr/>
      </w:pPr>
      <w:r>
        <w:rPr/>
        <w:t>A.</w:t>
        <w:tab/>
      </w:r>
      <w:r>
        <w:rPr>
          <w:u w:val="single"/>
        </w:rPr>
        <w:t>Collective Bargaining Agreement</w:t>
      </w:r>
    </w:p>
    <w:p>
      <w:pPr>
        <w:pStyle w:val="Normal"/>
        <w:spacing w:lineRule="auto" w:line="480"/>
        <w:rPr/>
      </w:pPr>
      <w:r>
        <w:rPr/>
        <w:tab/>
        <w:t>1.</w:t>
        <w:tab/>
        <w:t>Management Rights</w:t>
      </w:r>
    </w:p>
    <w:p>
      <w:pPr>
        <w:pStyle w:val="Normal"/>
        <w:spacing w:lineRule="auto" w:line="480"/>
        <w:rPr/>
      </w:pPr>
      <w:r>
        <w:rPr/>
        <w:tab/>
        <w:t xml:space="preserve">The wages, terms and conditions of employment of the Thruway production workers are governed by the single multi-location CBA with Local 300.  While the CBA has no management rights clause, management clearly retains the implicit right to close the facility.  The right to transfer the Thruway bargaining unit workforce to other Company locations is less clear.  If the right to transfer does not exist or if the Company chooses not to offer transfers, the resultant idling of the workforce will constitute a layoff.  Accordingly, we recommend that the Company meet with the Union representatives and inform them of the intended closure of the Thruway facility and the consolidation of its work within the remaining facilities covered by the bargaining unit.  Although the CBA gives the union few rights in this situation, such a meeting should flush out any Union claims that may impede the Company’s plan.  It also will provide the Union the opportunity to request bargaining over matters related to closure that were not settled between the parties in prior negotiations. </w:t>
      </w:r>
    </w:p>
    <w:p>
      <w:pPr>
        <w:pStyle w:val="Normal"/>
        <w:spacing w:lineRule="auto" w:line="480"/>
        <w:rPr/>
      </w:pPr>
      <w:r>
        <w:rPr/>
        <w:tab/>
        <w:t xml:space="preserve">The CBA does not provide for severance.  Ordinarily, unless an existing Company plan outside of the CBA provides severance for bargaining unit members, the Union has the right to request bargaining over severance for any displaced workers.  Under the National Labor Relations Act, any subject not specifically addressed in the CBA, or previously raised and rejected, or otherwise waived, may be brought up as a mid-term contract subject for bargaining. </w:t>
      </w:r>
      <w:r>
        <w:rPr>
          <w:i/>
        </w:rPr>
        <w:t xml:space="preserve"> Jacobs Manufacturing Co.</w:t>
      </w:r>
      <w:r>
        <w:rPr/>
        <w:t>, 28 LRRM 1162 (NLRB, 1951).  Sufficient advance notice should be given to the Union to provide an opportunity to bargain over the impact of the closure and, at a minimum, accommodate the ambiguous one week notice provision (CBA, Section 10) discussed below.</w:t>
      </w:r>
    </w:p>
    <w:p>
      <w:pPr>
        <w:pStyle w:val="Normal"/>
        <w:spacing w:lineRule="auto" w:line="480"/>
        <w:rPr/>
      </w:pPr>
      <w:r>
        <w:rPr/>
        <w:tab/>
        <w:t>It appears that the optimal strategy is to declare a closure and transfer of bargaining unit  workers.  If the Company offers to transfer all bargaining unit personnel to one of its other facilities, the job impact should not be treated as a layoff, thereby avoiding a complicated reduction-in-force procedure.  Moreover, the closure of the Thruway facility, accompanied by the offer to transfer within the bargaining unit, should not constitute a layoff under the CBA merely because the employees decline the transfer.  Since there is no layoff, no other provisions of the CBA are implicated.  Nevertheless, apart from the duty to bargain under the National Labor Relations Act referenced above, the Union could conceivably bring a grievance claiming that the Company lacks the express right to transfer and that the transfer is in fact a constructive layoff.    Were the union to prevail, a declaration of a layoff and application of the seniority layoff provisions of the CBA would be the remedy for the grievance.  Given that the CBA provides for combined location, all-unit seniority, and given the proximity of Paterson, the classification of this business change as a transfer of work and jobs rings true.</w:t>
      </w:r>
      <w:r>
        <w:rPr>
          <w:rStyle w:val="FootnoteCharacters"/>
          <w:rStyle w:val="FootnoteReference"/>
        </w:rPr>
        <w:footnoteReference w:id="2"/>
      </w:r>
    </w:p>
    <w:p>
      <w:pPr>
        <w:pStyle w:val="Normal"/>
        <w:spacing w:lineRule="auto" w:line="480"/>
        <w:rPr/>
      </w:pPr>
      <w:r>
        <w:rPr/>
        <w:tab/>
      </w:r>
    </w:p>
    <w:p>
      <w:pPr>
        <w:pStyle w:val="Normal"/>
        <w:spacing w:lineRule="auto" w:line="480"/>
        <w:rPr/>
      </w:pPr>
      <w:r>
        <w:rPr/>
        <w:tab/>
        <w:t>2. Seniority Rights in Event of Layoff</w:t>
      </w:r>
    </w:p>
    <w:p>
      <w:pPr>
        <w:pStyle w:val="Normal"/>
        <w:spacing w:lineRule="auto" w:line="480"/>
        <w:rPr/>
      </w:pPr>
      <w:r>
        <w:rPr/>
        <w:tab/>
        <w:t xml:space="preserve">  The CBA provides for unit-wide seniority covering all four facilities for the exercise of all rights under the CBA.</w:t>
      </w:r>
      <w:r>
        <w:rPr>
          <w:rStyle w:val="FootnoteCharacters"/>
          <w:rStyle w:val="FootnoteReference"/>
        </w:rPr>
        <w:footnoteReference w:id="3"/>
      </w:r>
      <w:r>
        <w:rPr/>
        <w:t xml:space="preserve">  Section 10 of the CBA provides that all layoffs shall be in reverse order of seniority based on service in the job classification.  However, the CBA does not mention any job classifications.  Instead it references one generic pay classification with a differential for forklift operators. CBA, Supplement A, p. 24.</w:t>
      </w:r>
      <w:r>
        <w:rPr>
          <w:rStyle w:val="FootnoteCharacters"/>
          <w:rStyle w:val="FootnoteReference"/>
        </w:rPr>
        <w:footnoteReference w:id="4"/>
      </w:r>
      <w:r>
        <w:rPr/>
        <w:t xml:space="preserve">  Accordingly, except for stewards who have unit-wide super seniority over other employees in any layoff (Section 13), the CBA has no specific layoff or bumping procedures other than providing that layoff be in reverse order of seniority.  The intent and consequence of the requirement that the remaining employee have qualifications “for the job he takes,” is unclear as there are no bumping or displacement rights and, apparently, only one job classification. See Section 10(a).  </w:t>
      </w:r>
    </w:p>
    <w:p>
      <w:pPr>
        <w:pStyle w:val="Normal"/>
        <w:spacing w:lineRule="auto" w:line="480"/>
        <w:rPr/>
      </w:pPr>
      <w:r>
        <w:rPr/>
        <w:tab/>
        <w:t>Section 10(b) is a somewhat confused paragraph whose application to a reduction-in-force as contrasted to reduction of hours is unclear.  It begins with the concept that reduction of the work week requires that the employer afford as much notice as practicable to the employees of an attendant layoff.   Thereafter, it provides that “all regular employees who have been in the employ of the Company for more that (sic than) one (1) year shall, when possible, be entitled to one (1) week notice when the layoff will extend one (1) week or more.”  Where such notice is not given, the employee is entitled to one week’s pay.   Section 10(b) also refers to the Company’s obligation to consult with the Union, but that obligation appears to be tied to the introductory clause of that sentence which pertains to reduced hours for senior employees.  Accordingly, the obligation to confer does not appear to be triggered by a transfer of work that does not involve any reduction of a particular senior employee’s hours or even a straight layoff.</w:t>
      </w:r>
    </w:p>
    <w:p>
      <w:pPr>
        <w:pStyle w:val="Normal"/>
        <w:spacing w:lineRule="auto" w:line="480"/>
        <w:rPr/>
      </w:pPr>
      <w:r>
        <w:rPr/>
        <w:tab/>
        <w:t>3.</w:t>
        <w:tab/>
        <w:t>Resolution of Contract Issues</w:t>
      </w:r>
    </w:p>
    <w:p>
      <w:pPr>
        <w:pStyle w:val="Normal"/>
        <w:spacing w:lineRule="auto" w:line="480"/>
        <w:rPr>
          <w:b/>
        </w:rPr>
      </w:pPr>
      <w:r>
        <w:rPr/>
        <w:tab/>
        <w:t xml:space="preserve">The discussion above is meant to highlight the possible contractual and labor law issues implicated by the closure of the Thruway facility.  We recommend that the Company present the transfer proposal to the Union as soon as is consistent with its planning for this business change in order to learn whether the Union will accept the characterization without grieving.  Knowledge of the Union’s position is crucial to the Company’s ability to make informed decisions regarding the Company’s strategy in closing the Thruway facility going forward.  </w:t>
      </w:r>
    </w:p>
    <w:p>
      <w:pPr>
        <w:pStyle w:val="Normal"/>
        <w:spacing w:lineRule="auto" w:line="480"/>
        <w:rPr>
          <w:b/>
        </w:rPr>
      </w:pPr>
      <w:r>
        <w:rPr>
          <w:b/>
        </w:rPr>
      </w:r>
    </w:p>
    <w:p>
      <w:pPr>
        <w:pStyle w:val="Normal"/>
        <w:spacing w:lineRule="auto" w:line="480"/>
        <w:rPr/>
      </w:pPr>
      <w:r>
        <w:rPr/>
        <w:t>B.</w:t>
        <w:tab/>
      </w:r>
      <w:r>
        <w:rPr>
          <w:u w:val="single"/>
        </w:rPr>
        <w:t>Federal And State Laws</w:t>
      </w:r>
    </w:p>
    <w:p>
      <w:pPr>
        <w:pStyle w:val="Normal"/>
        <w:spacing w:lineRule="auto" w:line="480"/>
        <w:rPr/>
      </w:pPr>
      <w:r>
        <w:rPr/>
        <w:tab/>
        <w:t xml:space="preserve">The Federal Worker Adjustment and Retraining Notification Act (“WARN”) , 29 U.S.C. 2107(a), which requires certain advance notices or payments or penalties in lieu thereof, is inapplicable here.  Although this situation constitutes a plant closure, WARN requires that at least 50 employees lose employment before the notice requirement is triggered.  Moreover, even if 50 employees were present, Section 2101(b)(2)(A) of WARN states that an employee does not experience an employment loss when “the employer offers to transfer the employee to a different site of employment within a reasonable commuting distance with no more than a 6 month break in employment.”  We believe that the distance between Suffern and Paterson would be deemed a reasonable commuting distance within the intent of the regulation.  Therefore, WARN notices are not required.   Moreover, Section 2101(b)(2)(B) states that no employment loss occurs when “the employee accepts [employment transfer] within 30 days of the offer or of the closing or layoff, whichever is later.”  Therefore, if the employees accept transfer, the distance between sites is irrelevant.  </w:t>
      </w:r>
    </w:p>
    <w:p>
      <w:pPr>
        <w:pStyle w:val="Normal"/>
        <w:spacing w:lineRule="auto" w:line="480"/>
        <w:rPr/>
      </w:pPr>
      <w:r>
        <w:rPr/>
        <w:tab/>
        <w:t xml:space="preserve">With respect to state law, New York does not have a state mini-WARN notice/penalty requirement for plant closures.  However, should employees decline the transfer, they may well be eligible for unemployment benefits under New York State law based on the argument that their modest wage does not justify the commute to Paterson, particularly if they lack personal transportation.  While this point is debatable, unemployment compensation is liberally given and may well be granted to any employees declining transfer.  Moreover, it has been our experience that when a group of employees suffer a job loss in a Union-represented setting, a flurry of workers’ compensation claims often ensues.  With respect to both the Union-represented and non-Union-represented employees, New York State law requires that a written notice of the termination be given to each employee within five days of the termination. N.Y. Labor Law §195.6.    Moreover, New York State law requires that terminal pay be given to the employees no later than the pay day for the pay period during which their termination occurred.  N.Y. Labor Law §191.3.  </w:t>
      </w:r>
    </w:p>
    <w:p>
      <w:pPr>
        <w:pStyle w:val="Normal"/>
        <w:spacing w:lineRule="auto" w:line="480"/>
        <w:rPr/>
      </w:pPr>
      <w:r>
        <w:rPr/>
      </w:r>
      <w:bookmarkStart w:id="7" w:name="PreservedSelection"/>
      <w:bookmarkStart w:id="8" w:name="PreservedSelection"/>
      <w:bookmarkEnd w:id="8"/>
    </w:p>
    <w:p>
      <w:pPr>
        <w:pStyle w:val="Normal"/>
        <w:spacing w:lineRule="auto" w:line="480"/>
        <w:rPr/>
      </w:pPr>
      <w:r>
        <w:rPr/>
        <w:tab/>
        <w:t>This memorandum addresses the issues raised by the closure of the Thruway facility under the CBA and federal labor law and federal and state notification and wage payment laws.  We have not addressed every potential litigation issue (such as adverse impact on a protected class)</w:t>
      </w:r>
      <w:r>
        <w:rPr>
          <w:rStyle w:val="FootnoteCharacters"/>
          <w:rStyle w:val="FootnoteReference"/>
        </w:rPr>
        <w:footnoteReference w:id="5"/>
      </w:r>
      <w:r>
        <w:rPr/>
        <w:t xml:space="preserve"> where we judged them to be remote concerns based on our understandings of the facts.  Moreover, should you wish advice regarding employee benefits of the unrepresented employees or should you provide severance and require releases that comply with the Older Workers Benefit Protection Act and local state law, please contact me.</w:t>
      </w:r>
    </w:p>
    <w:p>
      <w:pPr>
        <w:pStyle w:val="Normal"/>
        <w:spacing w:lineRule="auto" w:line="480"/>
        <w:jc w:val="center"/>
        <w:rPr>
          <w:b/>
        </w:rPr>
      </w:pPr>
      <w:r>
        <w:rPr>
          <w:b/>
        </w:rPr>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In addition, a busy train line connects Suffern and Paterson providing easy transportation.  In fact, the late poet Joyce Kilmer memorialized that train in a poem about “taking the train to Suffern.”</w:t>
      </w:r>
    </w:p>
  </w:footnote>
  <w:footnote w:id="3">
    <w:p>
      <w:pPr>
        <w:pStyle w:val="FootnoteText"/>
        <w:spacing w:before="0" w:after="120"/>
        <w:rPr/>
      </w:pPr>
      <w:r>
        <w:rPr>
          <w:rStyle w:val="FootnoteCharacters"/>
        </w:rPr>
        <w:footnoteRef/>
      </w:r>
      <w:r>
        <w:rPr/>
        <w:t xml:space="preserve"> </w:t>
      </w:r>
      <w:r>
        <w:rPr/>
        <w:t>Based on advice from C. Tomko there has been no history of localized seniority lists for job security purposes.</w:t>
      </w:r>
    </w:p>
  </w:footnote>
  <w:footnote w:id="4">
    <w:p>
      <w:pPr>
        <w:pStyle w:val="FootnoteText"/>
        <w:spacing w:before="0" w:after="120"/>
        <w:rPr/>
      </w:pPr>
      <w:r>
        <w:rPr>
          <w:rStyle w:val="FootnoteCharacters"/>
        </w:rPr>
        <w:footnoteRef/>
      </w:r>
      <w:r>
        <w:rPr/>
        <w:t xml:space="preserve"> </w:t>
      </w:r>
      <w:r>
        <w:rPr/>
        <w:t>Thus, despite references in the CBA to “job classifications,” there appears to be, at most, two such classifications, if in fact classifications exist at all.</w:t>
      </w:r>
    </w:p>
  </w:footnote>
  <w:footnote w:id="5">
    <w:p>
      <w:pPr>
        <w:pStyle w:val="FootnoteText"/>
        <w:spacing w:before="0" w:after="120"/>
        <w:rPr/>
      </w:pPr>
      <w:r>
        <w:rPr>
          <w:rStyle w:val="FootnoteCharacters"/>
        </w:rPr>
        <w:footnoteRef/>
      </w:r>
      <w:r>
        <w:rPr/>
        <w:t xml:space="preserve"> </w:t>
      </w:r>
      <w:r>
        <w:rPr/>
        <w:t>For example, this firm is representing another employer that had a similar closure of a facility where workers were given the option of transfer or layoff with severance.  The workers rejected the transfer, took the severance and later brought an age discrimination suit claiming that their facility was closed because it had predominantly older workers and the transfer offer was not legitimate and constituted a constructive layoff/discharge.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sz w:val="20"/>
      </w:rPr>
    </w:pPr>
    <w:r>
      <w:rPr>
        <w:sz w:val="20"/>
      </w:rPr>
      <w:t>Privileged and Confidential</w:t>
    </w:r>
  </w:p>
  <w:p>
    <w:pPr>
      <w:pStyle w:val="Header"/>
      <w:jc w:val="end"/>
      <w:rPr>
        <w:sz w:val="20"/>
      </w:rPr>
    </w:pPr>
    <w:r>
      <w:rPr>
        <w:sz w:val="20"/>
      </w:rPr>
      <w:t>Attorney/Client Communication</w:t>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onverted" w:val="9/19/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PHKS Blank.dot</Template>
  <TotalTime>399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2000-09-19T03:34:00Z</dcterms:created>
  <dc:creator>gail totten</dc:creator>
  <dc:description/>
  <dc:language>en-CA</dc:language>
  <cp:lastModifiedBy>PHKS</cp:lastModifiedBy>
  <cp:lastPrinted>2000-09-20T13:30:00Z</cp:lastPrinted>
  <dcterms:modified xsi:type="dcterms:W3CDTF">2000-09-20T15:36:00Z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629692A01</vt:lpwstr>
  </property>
</Properties>
</file>