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pPr>
      <w:r>
        <w:rPr/>
        <w:t>BEFORE THE</w:t>
      </w:r>
    </w:p>
    <w:p>
      <w:pPr>
        <w:pStyle w:val="Normal"/>
        <w:spacing w:lineRule="exact" w:line="240"/>
        <w:jc w:val="center"/>
        <w:rPr/>
      </w:pPr>
      <w:r>
        <w:rPr/>
        <w:t>PUBLIC UTILITIES COMMISSION</w:t>
      </w:r>
    </w:p>
    <w:p>
      <w:pPr>
        <w:pStyle w:val="Normal"/>
        <w:spacing w:lineRule="exact" w:line="240"/>
        <w:jc w:val="center"/>
        <w:rPr/>
      </w:pPr>
      <w:r>
        <w:rPr/>
        <w:t>OF THE STATE OF CALIFORNIA</w:t>
      </w:r>
    </w:p>
    <w:p>
      <w:pPr>
        <w:pStyle w:val="Normal"/>
        <w:tabs>
          <w:tab w:val="clear" w:pos="720"/>
          <w:tab w:val="left" w:pos="4410" w:leader="none"/>
        </w:tabs>
        <w:spacing w:lineRule="exact" w:line="240"/>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before="180" w:after="0"/>
              <w:rPr/>
            </w:pPr>
            <w:r>
              <w:rPr/>
              <w:tab/>
              <w:t>U 39-G</w:t>
            </w:r>
          </w:p>
          <w:p>
            <w:pPr>
              <w:pStyle w:val="Normal"/>
              <w:tabs>
                <w:tab w:val="clear" w:pos="720"/>
                <w:tab w:val="left" w:pos="4410" w:leader="none"/>
              </w:tabs>
              <w:spacing w:lineRule="exact" w:line="240"/>
              <w:rPr/>
            </w:pPr>
            <w:r>
              <w:rPr/>
            </w:r>
          </w:p>
        </w:tc>
        <w:tc>
          <w:tcPr>
            <w:tcW w:w="270" w:type="dxa"/>
            <w:tcBorders>
              <w:start w:val="dashed" w:sz="6" w:space="0" w:color="auto"/>
            </w:tcBorders>
          </w:tcPr>
          <w:p>
            <w:pPr>
              <w:pStyle w:val="Normal"/>
              <w:tabs>
                <w:tab w:val="clear" w:pos="720"/>
                <w:tab w:val="left" w:pos="4410" w:leader="none"/>
              </w:tabs>
              <w:snapToGrid w:val="false"/>
              <w:spacing w:lineRule="exact" w:line="240"/>
              <w:rPr/>
            </w:pPr>
            <w:r>
              <w:rPr/>
            </w:r>
          </w:p>
        </w:tc>
        <w:tc>
          <w:tcPr>
            <w:tcW w:w="3528" w:type="dxa"/>
            <w:tcBorders>
              <w:start w:val="dashed" w:sz="6" w:space="0" w:color="auto"/>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t>(Filed July 8, 1999)</w:t>
            </w:r>
          </w:p>
        </w:tc>
      </w:tr>
    </w:tbl>
    <w:p>
      <w:pPr>
        <w:pStyle w:val="Normal"/>
        <w:spacing w:lineRule="exact" w:line="240"/>
        <w:jc w:val="center"/>
        <w:rPr>
          <w:b/>
          <w:bCs/>
        </w:rPr>
      </w:pPr>
      <w:r>
        <w:rPr>
          <w:b/>
          <w:bCs/>
        </w:rPr>
      </w:r>
    </w:p>
    <w:p>
      <w:pPr>
        <w:pStyle w:val="Normal"/>
        <w:spacing w:lineRule="exact" w:line="240" w:before="120" w:after="0"/>
        <w:jc w:val="center"/>
        <w:rPr>
          <w:b/>
          <w:bCs/>
        </w:rPr>
      </w:pPr>
      <w:r>
        <w:rPr>
          <w:b/>
          <w:bCs/>
        </w:rPr>
        <w:t>DECLARATION OF DANIEL F. THOMAS</w:t>
      </w:r>
    </w:p>
    <w:p>
      <w:pPr>
        <w:pStyle w:val="BodyText"/>
        <w:rPr/>
      </w:pPr>
      <w:r>
        <w:rPr/>
        <w:t>I am the manager of Products and Sales of Pacific Gas and Electric Company’s (PG&amp;E) California Gas Transmission Department and was personally involved in the negotiations which lead to the October 22, 1999 “Joint Motion Requesting Adoption of Settlement of Operational Flow Order Protocol on Pacific Gas and Electric Company’s Gas System” in the above</w:t>
        <w:noBreakHyphen/>
        <w:t>captioned docket.  I have been asked to make the following statement in support of the “Operational Flow Order (OFO) Settlement Agreement (OFO Settlement) filed by PG&amp;E and 13 other parties.</w:t>
      </w:r>
    </w:p>
    <w:p>
      <w:pPr>
        <w:pStyle w:val="BodyText"/>
        <w:rPr/>
      </w:pPr>
      <w:r>
        <w:rPr/>
        <w:t>The amount of gas delivered to PG&amp;E’s system and taken off PG&amp;E’s system do not precisely match in any given time period.  Customer imbalances can offset each other, and most of the time, the system as a whole remains within operating tolerances.  For some days, however, the aggregate supply</w:t>
        <w:noBreakHyphen/>
        <w:t>demand imbalance for all shippers causes the forecast of pipeline inventory to exceed safe operating limits.  When this happens, PG&amp;E’s tariffs permit it to call an OFO.  (PG&amp;E Gas Rule 14.)</w:t>
      </w:r>
    </w:p>
    <w:p>
      <w:pPr>
        <w:pStyle w:val="BodyText"/>
        <w:rPr/>
      </w:pPr>
      <w:r>
        <w:rPr/>
        <w:t>During the two weeks of panel</w:t>
        <w:noBreakHyphen/>
        <w:t>style hearings called by President Bilas and ALJ Weissman in Rulemaking 98</w:t>
        <w:noBreakHyphen/>
        <w:t>01</w:t>
        <w:noBreakHyphen/>
        <w:t>011, PG&amp;E’s use of OFOs was the subject of testimony and briefs.  Shippers expressed concern with the frequency of OFOs and the difficulty they experience in predicting when OFOs will be called.  Some shippers asserted that they must often take costly steps to correct imbalances, and/or that OFOs impact the market prices for gas commodity.  A number of parties indicated a desire for more and better information about the status of PG&amp;E’s system to improve their ability to predict when and why system conditions are likely to lead to PG&amp;E issuing an OFO.</w:t>
      </w:r>
    </w:p>
    <w:p>
      <w:pPr>
        <w:pStyle w:val="BodyText"/>
        <w:rPr/>
      </w:pPr>
      <w:r>
        <w:rPr/>
        <w:t xml:space="preserve">In light of these concerns, Settlement Parties have agreed on a number of changes to PG&amp;E’s OFO protocol, reflected in the OFO Settlement and in the revisions to tariffs attached to the above-referenced October 22 Motion.  In addition, Settlement Parties wish to memorialize PG&amp;E’s agreement to provide certain specified information which will assist customers and shippers in managing imbalances on the PG&amp;E system.  Taken together, these revisions are intended to achieve the following goals: </w:t>
      </w:r>
    </w:p>
    <w:p>
      <w:pPr>
        <w:pStyle w:val="BodyText"/>
        <w:numPr>
          <w:ilvl w:val="0"/>
          <w:numId w:val="2"/>
        </w:numPr>
        <w:tabs>
          <w:tab w:val="clear" w:pos="720"/>
          <w:tab w:val="left" w:pos="0" w:leader="none"/>
        </w:tabs>
        <w:ind w:hanging="1152" w:start="1872" w:end="0"/>
        <w:rPr/>
      </w:pPr>
      <w:r>
        <w:rPr/>
        <w:t>Improve market access to operational information necessary for the management of gas imbalances on PG&amp;E’s system.</w:t>
      </w:r>
    </w:p>
    <w:p>
      <w:pPr>
        <w:pStyle w:val="BodyText"/>
        <w:numPr>
          <w:ilvl w:val="0"/>
          <w:numId w:val="2"/>
        </w:numPr>
        <w:tabs>
          <w:tab w:val="clear" w:pos="720"/>
          <w:tab w:val="left" w:pos="0" w:leader="none"/>
        </w:tabs>
        <w:ind w:hanging="1152" w:start="1872" w:end="0"/>
        <w:rPr/>
      </w:pPr>
      <w:r>
        <w:rPr/>
        <w:t>Significantly reduce the number of system</w:t>
        <w:noBreakHyphen/>
        <w:t>wide OFOs on the PG&amp;E system.</w:t>
      </w:r>
    </w:p>
    <w:p>
      <w:pPr>
        <w:pStyle w:val="BodyText"/>
        <w:numPr>
          <w:ilvl w:val="0"/>
          <w:numId w:val="2"/>
        </w:numPr>
        <w:tabs>
          <w:tab w:val="clear" w:pos="720"/>
          <w:tab w:val="left" w:pos="0" w:leader="none"/>
        </w:tabs>
        <w:ind w:hanging="1152" w:start="1872" w:end="0"/>
        <w:rPr/>
      </w:pPr>
      <w:r>
        <w:rPr/>
        <w:t>Reduce the impact of OFOs on the market.</w:t>
      </w:r>
    </w:p>
    <w:p>
      <w:pPr>
        <w:pStyle w:val="BodyText"/>
        <w:numPr>
          <w:ilvl w:val="0"/>
          <w:numId w:val="2"/>
        </w:numPr>
        <w:tabs>
          <w:tab w:val="clear" w:pos="720"/>
          <w:tab w:val="left" w:pos="0" w:leader="none"/>
        </w:tabs>
        <w:ind w:hanging="1152" w:start="1872" w:end="0"/>
        <w:rPr/>
      </w:pPr>
      <w:r>
        <w:rPr/>
        <w:t>Revise certain procedures implemented under the Gas Accord, in order to improve system operating efficiency, to clarify criteria used by PG&amp;E in making operational decisions, and to enhance customer interfaces with PG&amp;E’s gas operations.</w:t>
      </w:r>
    </w:p>
    <w:p>
      <w:pPr>
        <w:pStyle w:val="BodyText"/>
        <w:numPr>
          <w:ilvl w:val="0"/>
          <w:numId w:val="2"/>
        </w:numPr>
        <w:tabs>
          <w:tab w:val="clear" w:pos="720"/>
          <w:tab w:val="left" w:pos="0" w:leader="none"/>
        </w:tabs>
        <w:ind w:hanging="1152" w:start="1872" w:end="0"/>
        <w:rPr/>
      </w:pPr>
      <w:r>
        <w:rPr/>
        <w:t>Improve the transparency of operations to improve upon operational signals to the market.</w:t>
      </w:r>
    </w:p>
    <w:p>
      <w:pPr>
        <w:pStyle w:val="BodyText"/>
        <w:numPr>
          <w:ilvl w:val="0"/>
          <w:numId w:val="2"/>
        </w:numPr>
        <w:tabs>
          <w:tab w:val="clear" w:pos="720"/>
          <w:tab w:val="left" w:pos="0" w:leader="none"/>
        </w:tabs>
        <w:ind w:hanging="1152" w:start="1872" w:end="0"/>
        <w:rPr/>
      </w:pPr>
      <w:r>
        <w:rPr/>
        <w:t>Improve the ability of the market to foresee OFO events.</w:t>
      </w:r>
    </w:p>
    <w:p>
      <w:pPr>
        <w:pStyle w:val="BodyText"/>
        <w:numPr>
          <w:ilvl w:val="0"/>
          <w:numId w:val="2"/>
        </w:numPr>
        <w:tabs>
          <w:tab w:val="clear" w:pos="720"/>
          <w:tab w:val="left" w:pos="0" w:leader="none"/>
        </w:tabs>
        <w:ind w:hanging="1152" w:start="1872" w:end="0"/>
        <w:rPr/>
      </w:pPr>
      <w:r>
        <w:rPr/>
        <w:t>Maintain the OFO process as both a signal and incentive to the market to balance supply and demand.</w:t>
      </w:r>
    </w:p>
    <w:p>
      <w:pPr>
        <w:pStyle w:val="BodyText"/>
        <w:numPr>
          <w:ilvl w:val="0"/>
          <w:numId w:val="2"/>
        </w:numPr>
        <w:tabs>
          <w:tab w:val="clear" w:pos="720"/>
          <w:tab w:val="left" w:pos="0" w:leader="none"/>
        </w:tabs>
        <w:ind w:hanging="432" w:start="1872" w:end="0"/>
        <w:rPr/>
      </w:pPr>
      <w:r>
        <w:rPr/>
        <w:t>Resolve disputed issues and avoid the need to litigate these issues.</w:t>
      </w:r>
    </w:p>
    <w:p>
      <w:pPr>
        <w:pStyle w:val="BodyText"/>
        <w:rPr/>
      </w:pPr>
      <w:r>
        <w:rPr/>
        <w:t xml:space="preserve">The OFO Settlement is clearly in the public interest. It represents a broad-based consensus approach to operational issues of concern to the market and was achieved by those most knowledgeable about the issue and its impacts.  The OFO Settlement will improve the transparency of operations, provide improved signals to shippers, and resolve disputed issues without litigation.  Moreover, the OFO Settlement is expected to reduce OFOs and associated noncompliance charges. </w:t>
      </w:r>
    </w:p>
    <w:p>
      <w:pPr>
        <w:pStyle w:val="BodyText"/>
        <w:ind w:hanging="0" w:end="0"/>
        <w:rPr/>
      </w:pPr>
      <w:r>
        <w:rPr/>
        <w:t>///</w:t>
      </w:r>
    </w:p>
    <w:p>
      <w:pPr>
        <w:pStyle w:val="BodyText"/>
        <w:ind w:hanging="0" w:end="0"/>
        <w:rPr/>
      </w:pPr>
      <w:r>
        <w:rPr/>
        <w:t>///</w:t>
      </w:r>
    </w:p>
    <w:p>
      <w:pPr>
        <w:pStyle w:val="BodyText"/>
        <w:ind w:hanging="0" w:end="0"/>
        <w:rPr/>
      </w:pPr>
      <w:r>
        <w:rPr/>
        <w:t>///</w:t>
      </w:r>
    </w:p>
    <w:p>
      <w:pPr>
        <w:pStyle w:val="BodyText"/>
        <w:ind w:hanging="0" w:end="0"/>
        <w:rPr/>
      </w:pPr>
      <w:r>
        <w:rPr/>
        <w:t>///</w:t>
      </w:r>
    </w:p>
    <w:p>
      <w:pPr>
        <w:pStyle w:val="BodyText"/>
        <w:ind w:hanging="0" w:end="0"/>
        <w:rPr/>
      </w:pPr>
      <w:r>
        <w:rPr/>
        <w:t>///</w:t>
      </w:r>
    </w:p>
    <w:p>
      <w:pPr>
        <w:pStyle w:val="BodyText"/>
        <w:ind w:hanging="0" w:end="0"/>
        <w:rPr/>
      </w:pPr>
      <w:r>
        <w:rPr/>
        <w:t>///</w:t>
      </w:r>
      <w:r>
        <w:br w:type="page"/>
      </w:r>
    </w:p>
    <w:p>
      <w:pPr>
        <w:pStyle w:val="BodyText"/>
        <w:rPr/>
      </w:pPr>
      <w:r>
        <w:rPr/>
        <w:t>I am informed and believe that the matters set forth in this statement are true, and on that basis I declare under penalty of perjury that the foregoing is true and correct.</w:t>
      </w:r>
    </w:p>
    <w:p>
      <w:pPr>
        <w:pStyle w:val="BodyText"/>
        <w:rPr/>
      </w:pPr>
      <w:r>
        <w:rPr/>
      </w:r>
    </w:p>
    <w:p>
      <w:pPr>
        <w:pStyle w:val="BodyText"/>
        <w:rPr/>
      </w:pPr>
      <w:r>
        <w:rPr/>
        <w:t>Executed this November ______, 1999, at San Francisco, California.</w:t>
      </w:r>
    </w:p>
    <w:p>
      <w:pPr>
        <w:pStyle w:val="Normal"/>
        <w:spacing w:lineRule="exact" w:line="240"/>
        <w:rPr/>
      </w:pPr>
      <w:r>
        <w:rPr/>
      </w:r>
    </w:p>
    <w:p>
      <w:pPr>
        <w:pStyle w:val="Normal"/>
        <w:spacing w:lineRule="exact" w:line="240"/>
        <w:ind w:start="4680" w:end="0"/>
        <w:rPr/>
      </w:pPr>
      <w:r>
        <w:rPr/>
      </w:r>
    </w:p>
    <w:p>
      <w:pPr>
        <w:pStyle w:val="Normal"/>
        <w:spacing w:lineRule="exact" w:line="240"/>
        <w:ind w:start="4680" w:end="0"/>
        <w:rPr/>
      </w:pPr>
      <w:r>
        <w:rPr/>
      </w:r>
    </w:p>
    <w:p>
      <w:pPr>
        <w:pStyle w:val="Normal"/>
        <w:spacing w:lineRule="exact" w:line="240"/>
        <w:ind w:start="4680" w:end="0"/>
        <w:rPr>
          <w:u w:val="single"/>
        </w:rPr>
      </w:pPr>
      <w:r>
        <w:rPr>
          <w:u w:val="single"/>
        </w:rPr>
        <w:tab/>
        <w:tab/>
        <w:tab/>
        <w:tab/>
        <w:tab/>
        <w:tab/>
        <w:tab/>
      </w:r>
    </w:p>
    <w:p>
      <w:pPr>
        <w:pStyle w:val="Normal"/>
        <w:spacing w:lineRule="exact" w:line="240"/>
        <w:ind w:start="4680" w:end="0"/>
        <w:rPr/>
      </w:pPr>
      <w:r>
        <w:rPr/>
        <w:t>DANIEL F. THOMAS</w:t>
      </w:r>
    </w:p>
    <w:p>
      <w:pPr>
        <w:pStyle w:val="Normal"/>
        <w:spacing w:lineRule="exact" w:line="240"/>
        <w:ind w:start="4680" w:end="0"/>
        <w:rPr/>
      </w:pPr>
      <w:r>
        <w:rPr/>
        <w:t>Manager - Products and Sales</w:t>
      </w:r>
    </w:p>
    <w:p>
      <w:pPr>
        <w:pStyle w:val="Normal"/>
        <w:spacing w:lineRule="exact" w:line="240"/>
        <w:ind w:start="4680" w:end="0"/>
        <w:rPr/>
      </w:pPr>
      <w:r>
        <w:rPr/>
        <w:t>PACIFIC GAS AND ELECTRIC COMPANY</w:t>
      </w:r>
    </w:p>
    <w:sectPr>
      <w:headerReference w:type="default" r:id="rId2"/>
      <w:footerReference w:type="default" r:id="rId3"/>
      <w:type w:val="nextPage"/>
      <w:pgSz w:w="12240" w:h="15840"/>
      <w:pgMar w:left="1800" w:right="605" w:gutter="0" w:header="432" w:top="1296" w:footer="36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1" name="Frame1"/>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1" w:name="LineNo"/>
                          <w:bookmarkEnd w:id="1"/>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spacing w:val="0"/>
      <w:kern w:val="0"/>
      <w:sz w:val="24"/>
      <w:szCs w:val="24"/>
      <w:u w:val="none"/>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1999-11-17T15:33:00Z</dcterms:created>
  <dc:creator>Stephanie Louie</dc:creator>
  <dc:description/>
  <dc:language>en-CA</dc:language>
  <cp:lastModifiedBy>Stephanie Louie</cp:lastModifiedBy>
  <cp:lastPrinted>1999-11-18T14:32:00Z</cp:lastPrinted>
  <dcterms:modified xsi:type="dcterms:W3CDTF">1999-11-17T15:36:00Z</dcterms:modified>
  <cp:revision>5</cp:revision>
  <dc:subject/>
  <dc:title>BEFORE THE</dc:title>
</cp:coreProperties>
</file>