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1400 Smith St</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77002-7327</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 xml:space="preserve"> </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 xml:space="preserve"> </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May 25, 2000</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Deseret Generation &amp; Transmission Cooperative</w:t>
      </w:r>
      <w:r>
        <w:rPr>
          <w:sz w:val="22"/>
        </w:rPr>
        <w:fldChar w:fldCharType="end"/>
      </w:r>
      <w:r>
        <w:rPr>
          <w:sz w:val="22"/>
        </w:rPr>
        <w:t xml:space="preserve"> ("Counterparty")</w:t>
      </w:r>
    </w:p>
    <w:p>
      <w:pPr>
        <w:pStyle w:val="Normal"/>
        <w:widowControl/>
        <w:rPr>
          <w:sz w:val="22"/>
        </w:rPr>
      </w:pPr>
      <w:r>
        <w:rPr>
          <w:sz w:val="22"/>
        </w:rPr>
        <w:t>Attention:</w:t>
        <w:tab/>
        <w:tab/>
        <w:tab/>
        <w:t>Curt Winterfeld</w:t>
      </w:r>
    </w:p>
    <w:p>
      <w:pPr>
        <w:pStyle w:val="Normal"/>
        <w:widowControl/>
        <w:rPr>
          <w:sz w:val="22"/>
        </w:rPr>
      </w:pPr>
      <w:r>
        <w:rPr>
          <w:sz w:val="22"/>
        </w:rPr>
        <w:t>Fax No.:</w:t>
        <w:tab/>
        <w:tab/>
        <w:tab/>
        <w:t>801-619-6599</w:t>
      </w:r>
    </w:p>
    <w:p>
      <w:pPr>
        <w:pStyle w:val="Normal"/>
        <w:widowContro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345328.1</w:t>
      </w:r>
      <w:r>
        <w:rPr>
          <w:sz w:val="22"/>
        </w:rPr>
        <w:fldChar w:fldCharType="end"/>
      </w:r>
    </w:p>
    <w:p>
      <w:pPr>
        <w:pStyle w:val="Normal"/>
        <w:widowControl/>
        <w:rPr>
          <w:sz w:val="22"/>
        </w:rPr>
      </w:pPr>
      <w:r>
        <w:rPr>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May 25, 2000</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$150,800.00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May 30, 2000</w:t>
      </w:r>
      <w:r>
        <w:rPr>
          <w:sz w:val="22"/>
        </w:rPr>
        <w:fldChar w:fldCharType="end"/>
      </w:r>
    </w:p>
    <w:p>
      <w:pPr>
        <w:pStyle w:val="Normal"/>
        <w:widowControl/>
        <w:rPr>
          <w:sz w:val="22"/>
        </w:rPr>
      </w:pPr>
      <w:r>
        <w:rPr>
          <w:sz w:val="22"/>
        </w:rPr>
      </w:r>
    </w:p>
    <w:p>
      <w:pPr>
        <w:pStyle w:val="Normal"/>
        <w:widowControl/>
        <w:rPr>
          <w:sz w:val="22"/>
        </w:rPr>
      </w:pPr>
      <w:r>
        <w:rPr>
          <w:sz w:val="22"/>
        </w:rPr>
        <w:tab/>
        <w:t>Procedure for Exercise:</w:t>
        <w:tab/>
        <w:tab/>
        <w:tab/>
        <w:tab/>
        <w:tab/>
        <w:tab/>
        <w:tab/>
      </w:r>
    </w:p>
    <w:p>
      <w:pPr>
        <w:pStyle w:val="Normal"/>
        <w:widowControl/>
        <w:rPr>
          <w:sz w:val="22"/>
        </w:rPr>
      </w:pPr>
      <w:r>
        <w:rPr>
          <w:sz w:val="22"/>
        </w:rPr>
      </w:r>
    </w:p>
    <w:p>
      <w:pPr>
        <w:pStyle w:val="Normal"/>
        <w:widowControl/>
        <w:rPr>
          <w:sz w:val="22"/>
        </w:rPr>
      </w:pPr>
      <w:r>
        <w:rPr>
          <w:sz w:val="22"/>
        </w:rPr>
        <w:tab/>
        <w:tab/>
        <w:t>Automatic Exercise:</w:t>
        <w:tab/>
        <w:tab/>
        <w:t>Applicable</w:t>
      </w:r>
    </w:p>
    <w:p>
      <w:pPr>
        <w:pStyle w:val="Normal"/>
        <w:widowControl/>
        <w:rPr>
          <w:sz w:val="22"/>
        </w:rPr>
      </w:pPr>
      <w:r>
        <w:rPr>
          <w:sz w:val="22"/>
        </w:rPr>
      </w:r>
    </w:p>
    <w:p>
      <w:pPr>
        <w:pStyle w:val="Normal"/>
        <w:widowControl/>
        <w:rPr/>
      </w:pPr>
      <w:r>
        <w:rPr>
          <w:b/>
          <w:sz w:val="22"/>
        </w:rPr>
        <w:tab/>
        <w:tab/>
      </w:r>
      <w:r>
        <w:rPr>
          <w:sz w:val="22"/>
        </w:rPr>
        <w:t>Written Confirmation:</w:t>
        <w:tab/>
        <w:tab/>
        <w:t>Inapplicable</w:t>
      </w:r>
    </w:p>
    <w:p>
      <w:pPr>
        <w:pStyle w:val="Normal"/>
        <w:widowControl/>
        <w:rPr>
          <w:b/>
          <w:sz w:val="22"/>
        </w:rPr>
      </w:pPr>
      <w:r>
        <w:rPr>
          <w:b/>
          <w:sz w:val="22"/>
        </w:rPr>
      </w:r>
    </w:p>
    <w:p>
      <w:pPr>
        <w:pStyle w:val="Normal"/>
        <w:widowControl/>
        <w:rPr>
          <w:b/>
          <w:sz w:val="22"/>
        </w:rPr>
      </w:pPr>
      <w:r>
        <w:rPr>
          <w:b/>
          <w:sz w:val="22"/>
        </w:rPr>
      </w:r>
    </w:p>
    <w:p>
      <w:pPr>
        <w:pStyle w:val="Normal"/>
        <w:widowControl/>
        <w:rPr>
          <w:b/>
          <w:sz w:val="22"/>
        </w:rPr>
      </w:pPr>
      <w:r>
        <w:rPr>
          <w:b/>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50 MWs per Hour for each On-Peak Hour during the Determination Period</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June 1, 2000</w:t>
      </w:r>
      <w:r>
        <w:rPr>
          <w:sz w:val="22"/>
        </w:rPr>
        <w:fldChar w:fldCharType="end"/>
      </w:r>
    </w:p>
    <w:p>
      <w:pPr>
        <w:pStyle w:val="Normal"/>
        <w:widowControl/>
        <w:rPr>
          <w:sz w:val="22"/>
        </w:rPr>
      </w:pPr>
      <w:r>
        <w:rPr>
          <w:sz w:val="22"/>
        </w:rPr>
      </w:r>
    </w:p>
    <w:p>
      <w:pPr>
        <w:pStyle w:val="Normal"/>
        <w:widowControl/>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June 30, 2000</w:t>
      </w:r>
      <w:r>
        <w:rPr>
          <w:sz w:val="22"/>
        </w:rPr>
        <w:fldChar w:fldCharType="end"/>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June 1, 2000 through and including June 30, 2000.</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$100.00/MWh</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rPr>
                <w:sz w:val="22"/>
              </w:rPr>
            </w:pPr>
            <w:r>
              <w:rPr>
                <w:sz w:val="22"/>
                <w:lang w:val="en-CA"/>
              </w:rPr>
              <w:t>The average of the daily day-ahead prices listed in the Dow Jones Palo Verde Electricity Price</w:t>
            </w:r>
            <w:r>
              <w:rPr>
                <w:sz w:val="22"/>
              </w:rPr>
              <w:t xml:space="preserve"> </w:t>
            </w:r>
            <w:r>
              <w:rPr>
                <w:sz w:val="22"/>
                <w:lang w:val="en-CA"/>
              </w:rPr>
              <w:t xml:space="preserve">Index entitled "DJ-PV Daily Index: Firm On-Peak: Index " as published by Dow Jones Telerate (Telerate page 38422) for "On-Peak Hours" during the applicable Determination Period. </w:t>
            </w:r>
          </w:p>
          <w:p>
            <w:pPr>
              <w:pStyle w:val="Normal"/>
              <w:rPr>
                <w:b/>
                <w:sz w:val="22"/>
              </w:rPr>
            </w:pPr>
            <w:r>
              <w:rPr>
                <w:b/>
                <w:sz w:val="22"/>
              </w:rPr>
              <w:t xml:space="preserve"> </w:t>
            </w:r>
          </w:p>
          <w:p>
            <w:pPr>
              <w:pStyle w:val="Normal"/>
              <w:rPr>
                <w:b/>
                <w:sz w:val="22"/>
              </w:rPr>
            </w:pPr>
            <w:r>
              <w:rPr>
                <w:sz w:val="22"/>
                <w:lang w:val="en-CA"/>
              </w:rPr>
              <w:t xml:space="preserve"> “</w:t>
            </w:r>
            <w:r>
              <w:rPr>
                <w:sz w:val="22"/>
                <w:lang w:val="en-CA"/>
              </w:rPr>
              <w:t xml:space="preserve">On-Peak Hours” means the hours commencing HE 0700 through HE 2200 Pacific Prevailing Time, Monday through Saturday (excluding Sundays and holidays of the North American Electric Reliability Council) </w:t>
            </w:r>
          </w:p>
          <w:p>
            <w:pPr>
              <w:pStyle w:val="Normal"/>
              <w:widowControl/>
              <w:jc w:val="both"/>
              <w:rPr>
                <w:b/>
                <w:sz w:val="22"/>
              </w:rPr>
            </w:pPr>
            <w:r>
              <w:rPr>
                <w:b/>
                <w:sz w:val="22"/>
              </w:rPr>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Notwithstanding any provision of this Confirmation to the contrary, for each relevant Payment Date, an amount owing, if any, shall be equal to the aggregate of the product of (i) the Notional Quantity per Determination Period multiplied by (ii) the Strike Price Differential for each such Determination Period</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after the Floating Price is determinable for the final Determination Period with respect to each calendar month for those Determination Periods occuring during such calendar month</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pPr>
      <w:r>
        <w:rPr>
          <w:b/>
          <w:sz w:val="22"/>
        </w:rPr>
        <w:t>Governing Law:</w:t>
      </w:r>
      <w:r>
        <w:rPr>
          <w:sz w:val="22"/>
        </w:rPr>
        <w:tab/>
        <w:t>New York</w:t>
      </w:r>
    </w:p>
    <w:p>
      <w:pPr>
        <w:pStyle w:val="Normal"/>
        <w:widowControl/>
        <w:tabs>
          <w:tab w:val="clear" w:pos="720"/>
          <w:tab w:val="left" w:pos="4230" w:leader="none"/>
        </w:tabs>
        <w:rPr>
          <w:sz w:val="22"/>
        </w:rPr>
      </w:pPr>
      <w:r>
        <w:rPr>
          <w:sz w:val="22"/>
        </w:rPr>
      </w:r>
    </w:p>
    <w:p>
      <w:pPr>
        <w:pStyle w:val="Normal"/>
        <w:widowControl/>
        <w:tabs>
          <w:tab w:val="clear" w:pos="720"/>
          <w:tab w:val="left" w:pos="4230" w:leader="none"/>
        </w:tabs>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t>The other special provisions contained in Annex B attached hereto and made a part hereof apply and are incorporated herein by reference.</w:t>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Deseret Generation &amp; Transmission Cooperative</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pPr>
      <w:r>
        <w:rPr>
          <w:b/>
          <w:sz w:val="22"/>
        </w:rPr>
        <w:t xml:space="preserve">COUNTERPARTY: AFTER YOU HAVE CONFIRMED TRANSACTION, PLEASE RETURN TO ENA, ATTENTION: MANAGER OF DOCUMENTATION AT FAX NO. </w:t>
      </w:r>
      <w:r>
        <w:rPr>
          <w:b/>
          <w:sz w:val="22"/>
        </w:rPr>
        <w:fldChar w:fldCharType="begin"/>
      </w:r>
      <w:r>
        <w:rPr>
          <w:sz w:val="22"/>
          <w:b/>
        </w:rPr>
        <w:instrText xml:space="preserve"> MERGEFIELD EnronFax </w:instrText>
      </w:r>
      <w:r>
        <w:rPr>
          <w:sz w:val="22"/>
          <w:b/>
        </w:rPr>
        <w:fldChar w:fldCharType="separate"/>
      </w:r>
      <w:r>
        <w:rPr>
          <w:sz w:val="22"/>
          <w:b/>
        </w:rPr>
        <w:t>(713) 646-</w:t>
      </w:r>
      <w:r>
        <w:rPr>
          <w:sz w:val="22"/>
          <w:b/>
        </w:rPr>
        <w:fldChar w:fldCharType="end"/>
      </w:r>
      <w:r>
        <w:rPr>
          <w:b/>
          <w:sz w:val="22"/>
        </w:rPr>
        <w:t>2443</w:t>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widowControl/>
              <w:rPr>
                <w:sz w:val="22"/>
              </w:rPr>
            </w:pPr>
            <w:r>
              <w:rPr>
                <w:sz w:val="22"/>
              </w:rPr>
              <w:t>Attention: Manager, Documentation Department</w:t>
            </w:r>
          </w:p>
        </w:tc>
        <w:tc>
          <w:tcPr>
            <w:tcW w:w="4968" w:type="dxa"/>
            <w:tcBorders/>
          </w:tcPr>
          <w:p>
            <w:pPr>
              <w:pStyle w:val="Normal"/>
              <w:widowControl/>
              <w:rPr>
                <w:sz w:val="22"/>
              </w:rPr>
            </w:pPr>
            <w:r>
              <w:rPr>
                <w:sz w:val="22"/>
              </w:rPr>
              <w:t>(ABA Routing No.Bank of America, Dallas, TX)</w:t>
            </w:r>
          </w:p>
        </w:tc>
      </w:tr>
      <w:tr>
        <w:trPr/>
        <w:tc>
          <w:tcPr>
            <w:tcW w:w="4608" w:type="dxa"/>
            <w:tcBorders/>
          </w:tcPr>
          <w:p>
            <w:pPr>
              <w:pStyle w:val="Normal"/>
              <w:widowControl/>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w:t>
            </w:r>
            <w:r>
              <w:rPr>
                <w:sz w:val="22"/>
              </w:rPr>
              <w:fldChar w:fldCharType="end"/>
            </w:r>
            <w:r>
              <w:rPr>
                <w:sz w:val="22"/>
              </w:rPr>
              <w:t>2443</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Phone: 713-853-1771</w:t>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345328.1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2000-05-30T21:14:00Z</dcterms:created>
  <dc:creator>Enron User</dc:creator>
  <dc:description/>
  <dc:language>en-CA</dc:language>
  <cp:lastModifiedBy>Melissa Murphy</cp:lastModifiedBy>
  <dcterms:modified xsi:type="dcterms:W3CDTF">2000-05-30T21:14:00Z</dcterms:modified>
  <cp:revision>2</cp:revision>
  <dc:subject/>
  <dc:title>345328.1</dc:title>
</cp:coreProperties>
</file>