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r>
        <w:rPr/>
        <w:tab/>
        <w:tab/>
        <w:tab/>
        <w:tab/>
        <w:tab/>
        <w:tab/>
        <w:tab/>
        <w:tab/>
      </w:r>
    </w:p>
    <w:p>
      <w:pPr>
        <w:pStyle w:val="Heading"/>
        <w:rPr/>
      </w:pPr>
      <w:r>
        <w:rPr/>
      </w:r>
    </w:p>
    <w:p>
      <w:pPr>
        <w:pStyle w:val="Heading"/>
        <w:rPr/>
      </w:pPr>
      <w:r>
        <w:rPr/>
        <w:tab/>
        <w:t>ATTORNEY WORK PRODUCT</w:t>
      </w:r>
    </w:p>
    <w:p>
      <w:pPr>
        <w:pStyle w:val="Heading"/>
        <w:rPr/>
      </w:pPr>
      <w:r>
        <w:rPr/>
        <w:tab/>
        <w:t>PRIVILEGED AND CONFIDENTIAL COMMUNICATION</w: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To:</w:t>
            </w:r>
          </w:p>
        </w:tc>
        <w:tc>
          <w:tcPr>
            <w:tcW w:w="6045" w:type="dxa"/>
            <w:tcBorders>
              <w:top w:val="dashed" w:sz="6" w:space="0" w:color="auto"/>
              <w:start w:val="dashed" w:sz="6" w:space="0" w:color="auto"/>
              <w:bottom w:val="dashed" w:sz="6" w:space="0" w:color="auto"/>
              <w:end w:val="dashed" w:sz="6" w:space="0" w:color="auto"/>
            </w:tcBorders>
          </w:tcPr>
          <w:p>
            <w:pPr>
              <w:pStyle w:val="To"/>
              <w:rPr/>
            </w:pPr>
            <w:r>
              <w:rPr/>
              <w:t>James V. Derrick, Jr.</w:t>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pPr>
            <w:r>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From:</w:t>
            </w:r>
          </w:p>
        </w:tc>
        <w:tc>
          <w:tcPr>
            <w:tcW w:w="6045" w:type="dxa"/>
            <w:tcBorders>
              <w:top w:val="dashed" w:sz="6" w:space="0" w:color="auto"/>
              <w:start w:val="dashed" w:sz="6" w:space="0" w:color="auto"/>
              <w:bottom w:val="dashed" w:sz="6" w:space="0" w:color="auto"/>
              <w:end w:val="dashed" w:sz="6" w:space="0" w:color="auto"/>
            </w:tcBorders>
          </w:tcPr>
          <w:p>
            <w:pPr>
              <w:pStyle w:val="From"/>
              <w:rPr/>
            </w:pPr>
            <w:r>
              <w:rPr/>
              <w:t>Mark Greenberg</w:t>
            </w:r>
          </w:p>
        </w:tc>
        <w:tc>
          <w:tcPr>
            <w:tcW w:w="990"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Department:</w:t>
            </w:r>
          </w:p>
        </w:tc>
        <w:tc>
          <w:tcPr>
            <w:tcW w:w="2965" w:type="dxa"/>
            <w:tcBorders>
              <w:top w:val="dashed" w:sz="6" w:space="0" w:color="auto"/>
              <w:start w:val="dashed" w:sz="6" w:space="0" w:color="auto"/>
              <w:bottom w:val="dashed" w:sz="6" w:space="0" w:color="auto"/>
              <w:end w:val="dashed" w:sz="6" w:space="0" w:color="auto"/>
            </w:tcBorders>
          </w:tcPr>
          <w:p>
            <w:pPr>
              <w:pStyle w:val="Department"/>
              <w:rPr/>
            </w:pPr>
            <w:bookmarkStart w:id="0" w:name="From"/>
            <w:bookmarkEnd w:id="0"/>
            <w:r>
              <w:rPr/>
              <w:t>EWS - Legal</w:t>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600" w:hRule="exact"/>
        </w:trPr>
        <w:tc>
          <w:tcPr>
            <w:tcW w:w="708"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Subject:</w:t>
            </w:r>
          </w:p>
        </w:tc>
        <w:tc>
          <w:tcPr>
            <w:tcW w:w="6045" w:type="dxa"/>
            <w:tcBorders>
              <w:top w:val="dashed" w:sz="6" w:space="0" w:color="auto"/>
              <w:start w:val="dashed" w:sz="6" w:space="0" w:color="auto"/>
              <w:bottom w:val="single" w:sz="12" w:space="0" w:color="000000"/>
              <w:end w:val="dashed" w:sz="6" w:space="0" w:color="auto"/>
            </w:tcBorders>
          </w:tcPr>
          <w:p>
            <w:pPr>
              <w:pStyle w:val="Subject"/>
              <w:rPr/>
            </w:pPr>
            <w:bookmarkStart w:id="1" w:name="tSubject"/>
            <w:bookmarkEnd w:id="1"/>
            <w:r>
              <w:rPr/>
              <w:t>Transaction Overview Memorandum</w:t>
            </w:r>
          </w:p>
          <w:p>
            <w:pPr>
              <w:pStyle w:val="Subject"/>
              <w:rPr/>
            </w:pPr>
            <w:r>
              <w:rPr/>
              <w:t>Stock Purchase of Daishowa Forest Products, Ltd.</w:t>
            </w:r>
          </w:p>
        </w:tc>
        <w:tc>
          <w:tcPr>
            <w:tcW w:w="990"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Date:</w:t>
            </w:r>
          </w:p>
        </w:tc>
        <w:tc>
          <w:tcPr>
            <w:tcW w:w="2965" w:type="dxa"/>
            <w:tcBorders>
              <w:top w:val="dashed" w:sz="6" w:space="0" w:color="auto"/>
              <w:start w:val="dashed" w:sz="6" w:space="0" w:color="auto"/>
              <w:bottom w:val="single" w:sz="12" w:space="0" w:color="000000"/>
              <w:end w:val="dashed" w:sz="6" w:space="0" w:color="auto"/>
            </w:tcBorders>
          </w:tcPr>
          <w:p>
            <w:pPr>
              <w:pStyle w:val="Date"/>
              <w:rPr/>
            </w:pPr>
            <w:r>
              <w:rPr/>
              <w:t>December 11, 2000</w:t>
            </w:r>
          </w:p>
        </w:tc>
      </w:tr>
    </w:tbl>
    <w:p>
      <w:pPr>
        <w:pStyle w:val="CopyList"/>
        <w:tabs>
          <w:tab w:val="clear" w:pos="504"/>
          <w:tab w:val="left" w:pos="-1260" w:leader="none"/>
          <w:tab w:val="left" w:pos="1440" w:leader="none"/>
        </w:tabs>
        <w:spacing w:before="0" w:after="0"/>
        <w:ind w:hanging="0" w:start="0" w:end="0"/>
        <w:jc w:val="both"/>
        <w:rPr/>
      </w:pPr>
      <w:r>
        <w:rPr/>
      </w:r>
      <w:bookmarkStart w:id="2" w:name="StartOfMemo"/>
      <w:bookmarkStart w:id="3" w:name="StartOfMemo"/>
      <w:bookmarkEnd w:id="3"/>
    </w:p>
    <w:p>
      <w:pPr>
        <w:pStyle w:val="CopyList"/>
        <w:tabs>
          <w:tab w:val="clear" w:pos="504"/>
          <w:tab w:val="left" w:pos="-1260" w:leader="none"/>
          <w:tab w:val="left" w:pos="1440" w:leader="none"/>
        </w:tabs>
        <w:spacing w:before="0" w:after="0"/>
        <w:ind w:hanging="0" w:start="0" w:end="0"/>
        <w:jc w:val="both"/>
        <w:rPr/>
      </w:pPr>
      <w:r>
        <w:rPr/>
      </w:r>
    </w:p>
    <w:p>
      <w:pPr>
        <w:pStyle w:val="Normal"/>
        <w:jc w:val="both"/>
        <w:rPr>
          <w:sz w:val="20"/>
          <w:szCs w:val="20"/>
        </w:rPr>
      </w:pPr>
      <w:r>
        <w:rPr>
          <w:sz w:val="20"/>
          <w:szCs w:val="20"/>
        </w:rPr>
      </w:r>
    </w:p>
    <w:p>
      <w:pPr>
        <w:pStyle w:val="Normal"/>
        <w:jc w:val="both"/>
        <w:rPr>
          <w:b/>
          <w:bCs/>
          <w:sz w:val="20"/>
          <w:szCs w:val="20"/>
          <w:u w:val="single"/>
        </w:rPr>
      </w:pPr>
      <w:r>
        <w:rPr>
          <w:b/>
          <w:bCs/>
          <w:sz w:val="20"/>
          <w:szCs w:val="20"/>
          <w:u w:val="single"/>
        </w:rPr>
        <w:t>I.  General Statement</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 xml:space="preserve">This memorandum provides an executive summary of the proposed acquisition (the “Proposed Acquisition”) by Enron Industrial Markets, LLC (or an affiliated entity to be subsequently created) of all of the outstanding capital stock of Daishowa Forest Products, Ltd., a Canadian corporation (“DFPL”).  In light of the pending Board of Directors meeting, at which this transaction will be presented for approval, the below information will be helpful in defining the current status of the Proposed Acquisition and the concerns/issues raised to date.  If further information is required, please call me at extension 58897. </w:t>
      </w:r>
    </w:p>
    <w:p>
      <w:pPr>
        <w:pStyle w:val="Normal"/>
        <w:jc w:val="both"/>
        <w:rPr>
          <w:sz w:val="20"/>
          <w:szCs w:val="20"/>
        </w:rPr>
      </w:pPr>
      <w:r>
        <w:rPr>
          <w:sz w:val="20"/>
          <w:szCs w:val="20"/>
        </w:rPr>
      </w:r>
    </w:p>
    <w:p>
      <w:pPr>
        <w:pStyle w:val="Normal"/>
        <w:jc w:val="both"/>
        <w:rPr/>
      </w:pPr>
      <w:r>
        <w:rPr>
          <w:sz w:val="20"/>
          <w:szCs w:val="20"/>
        </w:rPr>
        <w:br/>
      </w:r>
      <w:r>
        <w:rPr>
          <w:b/>
          <w:bCs/>
          <w:sz w:val="20"/>
          <w:szCs w:val="20"/>
          <w:u w:val="single"/>
        </w:rPr>
        <w:t>II.  Executive Summary</w:t>
      </w:r>
    </w:p>
    <w:p>
      <w:pPr>
        <w:pStyle w:val="Normal"/>
        <w:jc w:val="both"/>
        <w:rPr>
          <w:b/>
          <w:bCs/>
          <w:sz w:val="20"/>
          <w:szCs w:val="20"/>
          <w:u w:val="single"/>
        </w:rPr>
      </w:pPr>
      <w:r>
        <w:rPr>
          <w:b/>
          <w:bCs/>
          <w:sz w:val="20"/>
          <w:szCs w:val="20"/>
          <w:u w:val="single"/>
        </w:rPr>
      </w:r>
    </w:p>
    <w:p>
      <w:pPr>
        <w:pStyle w:val="Normal"/>
        <w:jc w:val="both"/>
        <w:rPr/>
      </w:pPr>
      <w:r>
        <w:rPr>
          <w:b/>
          <w:bCs/>
          <w:sz w:val="20"/>
          <w:szCs w:val="20"/>
        </w:rPr>
        <w:tab/>
      </w:r>
      <w:r>
        <w:rPr>
          <w:sz w:val="20"/>
          <w:szCs w:val="20"/>
          <w:u w:val="single"/>
        </w:rPr>
        <w:t>A.  Company Overview.</w:t>
      </w:r>
    </w:p>
    <w:p>
      <w:pPr>
        <w:pStyle w:val="Normal"/>
        <w:jc w:val="both"/>
        <w:rPr>
          <w:sz w:val="20"/>
          <w:szCs w:val="20"/>
          <w:u w:val="single"/>
        </w:rPr>
      </w:pPr>
      <w:r>
        <w:rPr>
          <w:sz w:val="20"/>
          <w:szCs w:val="20"/>
          <w:u w:val="single"/>
        </w:rPr>
      </w:r>
    </w:p>
    <w:p>
      <w:pPr>
        <w:pStyle w:val="Normal"/>
        <w:numPr>
          <w:ilvl w:val="0"/>
          <w:numId w:val="2"/>
        </w:numPr>
        <w:tabs>
          <w:tab w:val="clear" w:pos="540"/>
          <w:tab w:val="left" w:pos="0" w:leader="none"/>
          <w:tab w:val="left" w:pos="180" w:leader="none"/>
          <w:tab w:val="left" w:pos="360" w:leader="none"/>
        </w:tabs>
        <w:ind w:hanging="907" w:start="1627" w:end="0"/>
        <w:jc w:val="both"/>
        <w:rPr/>
      </w:pPr>
      <w:r>
        <w:rPr>
          <w:sz w:val="20"/>
          <w:szCs w:val="20"/>
          <w:u w:val="single"/>
        </w:rPr>
        <w:t>Seller</w:t>
      </w:r>
      <w:r>
        <w:rPr>
          <w:sz w:val="20"/>
          <w:szCs w:val="20"/>
        </w:rPr>
        <w:t xml:space="preserve"> - Daishowa North America Corporation, a Canadian company (“DNAC”), a wholly owned subsidiary of Daishowa Paper Manufacturing, Co., Ltd, a Japanese corporation (“DPMC”).</w:t>
      </w:r>
    </w:p>
    <w:p>
      <w:pPr>
        <w:pStyle w:val="Normal"/>
        <w:numPr>
          <w:ilvl w:val="0"/>
          <w:numId w:val="0"/>
        </w:numPr>
        <w:ind w:hanging="0" w:start="1267" w:end="0"/>
        <w:jc w:val="both"/>
        <w:rPr>
          <w:sz w:val="20"/>
          <w:szCs w:val="20"/>
        </w:rPr>
      </w:pPr>
      <w:r>
        <w:rPr>
          <w:sz w:val="20"/>
          <w:szCs w:val="20"/>
        </w:rPr>
      </w:r>
    </w:p>
    <w:p>
      <w:pPr>
        <w:pStyle w:val="Normal"/>
        <w:numPr>
          <w:ilvl w:val="0"/>
          <w:numId w:val="2"/>
        </w:numPr>
        <w:tabs>
          <w:tab w:val="clear" w:pos="540"/>
          <w:tab w:val="left" w:pos="0" w:leader="none"/>
          <w:tab w:val="left" w:pos="180" w:leader="none"/>
          <w:tab w:val="left" w:pos="360" w:leader="none"/>
        </w:tabs>
        <w:ind w:hanging="360" w:start="1627" w:end="0"/>
        <w:jc w:val="both"/>
        <w:rPr/>
      </w:pPr>
      <w:r>
        <w:rPr>
          <w:sz w:val="20"/>
          <w:szCs w:val="20"/>
          <w:u w:val="single"/>
        </w:rPr>
        <w:t>Central Assets Owned by DFPL (or subsidiary organizations)/To Be Acquired by Enron</w:t>
      </w:r>
      <w:r>
        <w:rPr>
          <w:sz w:val="20"/>
          <w:szCs w:val="20"/>
        </w:rPr>
        <w:t xml:space="preserve"> - Newsprint/directory paper mill located in Quebec City, Quebec, a sawmill located in Leduc, Quebec, and approximately 67K acres of timberlands located in the State of Maine.  </w:t>
      </w:r>
    </w:p>
    <w:p>
      <w:pPr>
        <w:pStyle w:val="Normal"/>
        <w:jc w:val="both"/>
        <w:rPr>
          <w:sz w:val="20"/>
          <w:szCs w:val="20"/>
        </w:rPr>
      </w:pPr>
      <w:r>
        <w:rPr>
          <w:sz w:val="20"/>
          <w:szCs w:val="20"/>
        </w:rPr>
        <w:tab/>
      </w:r>
    </w:p>
    <w:p>
      <w:pPr>
        <w:pStyle w:val="Normal"/>
        <w:jc w:val="both"/>
        <w:rPr/>
      </w:pPr>
      <w:r>
        <w:rPr>
          <w:sz w:val="20"/>
          <w:szCs w:val="20"/>
        </w:rPr>
        <w:tab/>
      </w:r>
      <w:r>
        <w:rPr>
          <w:sz w:val="20"/>
          <w:szCs w:val="20"/>
          <w:u w:val="single"/>
        </w:rPr>
        <w:t>B.  Bid Submittal/Offer Price.</w:t>
      </w:r>
    </w:p>
    <w:p>
      <w:pPr>
        <w:pStyle w:val="Normal"/>
        <w:jc w:val="both"/>
        <w:rPr>
          <w:sz w:val="20"/>
          <w:szCs w:val="20"/>
          <w:u w:val="single"/>
        </w:rPr>
      </w:pPr>
      <w:r>
        <w:rPr>
          <w:sz w:val="20"/>
          <w:szCs w:val="20"/>
          <w:u w:val="single"/>
        </w:rPr>
      </w:r>
    </w:p>
    <w:p>
      <w:pPr>
        <w:pStyle w:val="Normal"/>
        <w:numPr>
          <w:ilvl w:val="0"/>
          <w:numId w:val="3"/>
        </w:numPr>
        <w:tabs>
          <w:tab w:val="clear" w:pos="540"/>
          <w:tab w:val="left" w:pos="0" w:leader="none"/>
          <w:tab w:val="left" w:pos="180" w:leader="none"/>
          <w:tab w:val="left" w:pos="360" w:leader="none"/>
        </w:tabs>
        <w:ind w:hanging="907" w:start="1627" w:end="0"/>
        <w:jc w:val="both"/>
        <w:rPr/>
      </w:pPr>
      <w:r>
        <w:rPr>
          <w:sz w:val="20"/>
          <w:szCs w:val="20"/>
          <w:u w:val="single"/>
        </w:rPr>
        <w:t>October 16, 2000, Non-binding Bid Letter</w:t>
      </w:r>
      <w:r>
        <w:rPr>
          <w:sz w:val="20"/>
          <w:szCs w:val="20"/>
        </w:rPr>
        <w:t xml:space="preserve"> - Original offer price of US$330,000,000.00, subject to several conditions, including (1) Enron’s ability to place this acquisition within the equity fund initiative being pursued by Enron Net Works, (2) approval of both Enron’s senior management and its Board of Directors and (3) a requirement that the company to be purchased own, as of the closing date, only the Quebec City mill, its associated Canadian properties (including the Leduc sawmill), and the State of Maine timberlands.</w:t>
      </w:r>
    </w:p>
    <w:p>
      <w:pPr>
        <w:pStyle w:val="Normal"/>
        <w:numPr>
          <w:ilvl w:val="0"/>
          <w:numId w:val="0"/>
        </w:numPr>
        <w:ind w:hanging="0" w:start="1267" w:end="0"/>
        <w:jc w:val="both"/>
        <w:rPr>
          <w:sz w:val="20"/>
          <w:szCs w:val="20"/>
        </w:rPr>
      </w:pPr>
      <w:r>
        <w:rPr>
          <w:sz w:val="20"/>
          <w:szCs w:val="20"/>
        </w:rPr>
      </w:r>
    </w:p>
    <w:p>
      <w:pPr>
        <w:pStyle w:val="Normal"/>
        <w:numPr>
          <w:ilvl w:val="0"/>
          <w:numId w:val="3"/>
        </w:numPr>
        <w:tabs>
          <w:tab w:val="clear" w:pos="540"/>
          <w:tab w:val="left" w:pos="0" w:leader="none"/>
          <w:tab w:val="left" w:pos="180" w:leader="none"/>
          <w:tab w:val="left" w:pos="360" w:leader="none"/>
        </w:tabs>
        <w:ind w:hanging="907" w:start="1627" w:end="0"/>
        <w:jc w:val="both"/>
        <w:rPr/>
      </w:pPr>
      <w:r>
        <w:rPr>
          <w:sz w:val="20"/>
          <w:szCs w:val="20"/>
          <w:u w:val="single"/>
        </w:rPr>
        <w:t>Comments to Share Purchase Agreement</w:t>
      </w:r>
      <w:r>
        <w:rPr>
          <w:sz w:val="20"/>
          <w:szCs w:val="20"/>
        </w:rPr>
        <w:t xml:space="preserve"> - Extensive comments were submitted to the form Share Purchase Agreement ("SPA") submitted with the seller's bid instruction letter.</w:t>
      </w:r>
    </w:p>
    <w:p>
      <w:pPr>
        <w:pStyle w:val="Normal"/>
        <w:numPr>
          <w:ilvl w:val="0"/>
          <w:numId w:val="0"/>
        </w:numPr>
        <w:ind w:hanging="0" w:start="720" w:end="0"/>
        <w:jc w:val="both"/>
        <w:rPr>
          <w:sz w:val="20"/>
          <w:szCs w:val="20"/>
        </w:rPr>
      </w:pPr>
      <w:r>
        <w:rPr>
          <w:sz w:val="20"/>
          <w:szCs w:val="20"/>
        </w:rPr>
      </w:r>
    </w:p>
    <w:p>
      <w:pPr>
        <w:pStyle w:val="Normal"/>
        <w:numPr>
          <w:ilvl w:val="0"/>
          <w:numId w:val="3"/>
        </w:numPr>
        <w:tabs>
          <w:tab w:val="clear" w:pos="540"/>
          <w:tab w:val="left" w:pos="0" w:leader="none"/>
          <w:tab w:val="left" w:pos="180" w:leader="none"/>
          <w:tab w:val="left" w:pos="360" w:leader="none"/>
        </w:tabs>
        <w:ind w:hanging="360" w:start="1627" w:end="0"/>
        <w:jc w:val="both"/>
        <w:rPr/>
      </w:pPr>
      <w:r>
        <w:rPr>
          <w:sz w:val="20"/>
          <w:szCs w:val="20"/>
          <w:u w:val="single"/>
        </w:rPr>
        <w:t>Increased Bid</w:t>
      </w:r>
      <w:r>
        <w:rPr>
          <w:sz w:val="20"/>
          <w:szCs w:val="20"/>
        </w:rPr>
        <w:t xml:space="preserve"> - Subsequent negotiations between Enron and seller have resulted in an increase of the offer price to US$360,000,000.00.</w:t>
      </w:r>
    </w:p>
    <w:p>
      <w:pPr>
        <w:pStyle w:val="Normal"/>
        <w:jc w:val="both"/>
        <w:rPr>
          <w:sz w:val="20"/>
          <w:szCs w:val="20"/>
        </w:rPr>
      </w:pPr>
      <w:r>
        <w:rPr>
          <w:sz w:val="20"/>
          <w:szCs w:val="20"/>
        </w:rPr>
      </w:r>
    </w:p>
    <w:p>
      <w:pPr>
        <w:pStyle w:val="Normal"/>
        <w:jc w:val="both"/>
        <w:rPr>
          <w:sz w:val="20"/>
          <w:szCs w:val="20"/>
        </w:rPr>
      </w:pPr>
      <w:r>
        <w:rPr>
          <w:sz w:val="20"/>
          <w:szCs w:val="20"/>
        </w:rPr>
        <w:tab/>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pPr>
      <w:r>
        <w:rPr>
          <w:sz w:val="20"/>
          <w:szCs w:val="20"/>
        </w:rPr>
        <w:tab/>
      </w:r>
      <w:r>
        <w:rPr>
          <w:sz w:val="20"/>
          <w:szCs w:val="20"/>
          <w:u w:val="single"/>
        </w:rPr>
        <w:t>C.  Status of SPA/Pertinent Terms.</w:t>
      </w:r>
    </w:p>
    <w:p>
      <w:pPr>
        <w:pStyle w:val="Normal"/>
        <w:jc w:val="both"/>
        <w:rPr>
          <w:sz w:val="20"/>
          <w:szCs w:val="20"/>
          <w:u w:val="single"/>
        </w:rPr>
      </w:pPr>
      <w:r>
        <w:rPr>
          <w:sz w:val="20"/>
          <w:szCs w:val="20"/>
          <w:u w:val="single"/>
        </w:rPr>
      </w:r>
    </w:p>
    <w:p>
      <w:pPr>
        <w:pStyle w:val="Normal"/>
        <w:numPr>
          <w:ilvl w:val="0"/>
          <w:numId w:val="4"/>
        </w:numPr>
        <w:tabs>
          <w:tab w:val="clear" w:pos="540"/>
          <w:tab w:val="left" w:pos="0" w:leader="none"/>
          <w:tab w:val="left" w:pos="180" w:leader="none"/>
          <w:tab w:val="left" w:pos="360" w:leader="none"/>
        </w:tabs>
        <w:ind w:hanging="907" w:start="1627" w:end="0"/>
        <w:jc w:val="both"/>
        <w:rPr/>
      </w:pPr>
      <w:r>
        <w:rPr>
          <w:sz w:val="20"/>
          <w:szCs w:val="20"/>
          <w:u w:val="single"/>
        </w:rPr>
        <w:t>Environmental Terms.</w:t>
      </w:r>
      <w:r>
        <w:rPr>
          <w:sz w:val="20"/>
          <w:szCs w:val="20"/>
        </w:rPr>
        <w:t xml:space="preserve">  A review of the SPA revealed environmental representations and warranties somewhat consistent with expectations, but hedged by general terms such as “in material compliance” or “generally compliant” without accompanying definitions of these concepts.  The indemnity provisions established an elaborate methodology for submitting a claim, including the need to have actually suffered a financial loss before being able to present a claim, and did not automatically allow for an environmental claim unless certain “triggering events” first occurred.</w:t>
      </w:r>
    </w:p>
    <w:p>
      <w:pPr>
        <w:pStyle w:val="Normal"/>
        <w:numPr>
          <w:ilvl w:val="0"/>
          <w:numId w:val="0"/>
        </w:numPr>
        <w:ind w:hanging="0" w:start="0"/>
        <w:jc w:val="both"/>
        <w:rPr>
          <w:sz w:val="20"/>
          <w:szCs w:val="20"/>
        </w:rPr>
      </w:pPr>
      <w:r>
        <w:rPr>
          <w:sz w:val="20"/>
          <w:szCs w:val="20"/>
        </w:rPr>
      </w:r>
    </w:p>
    <w:p>
      <w:pPr>
        <w:pStyle w:val="Normal"/>
        <w:numPr>
          <w:ilvl w:val="0"/>
          <w:numId w:val="4"/>
        </w:numPr>
        <w:tabs>
          <w:tab w:val="clear" w:pos="540"/>
          <w:tab w:val="left" w:pos="0" w:leader="none"/>
          <w:tab w:val="left" w:pos="180" w:leader="none"/>
          <w:tab w:val="left" w:pos="360" w:leader="none"/>
        </w:tabs>
        <w:ind w:hanging="907" w:start="1627" w:end="0"/>
        <w:jc w:val="both"/>
        <w:rPr/>
      </w:pPr>
      <w:r>
        <w:rPr>
          <w:sz w:val="20"/>
          <w:szCs w:val="20"/>
          <w:u w:val="single"/>
        </w:rPr>
        <w:t>Caps/Thresholds</w:t>
      </w:r>
      <w:r>
        <w:rPr>
          <w:sz w:val="20"/>
          <w:szCs w:val="20"/>
        </w:rPr>
        <w:t xml:space="preserve"> -  Liability thresholds (e.g., $25K for any single claim and &gt; 1% of the offer price for the aggregate of claims) and caps (10% of the offer price) which have been suggested.  </w:t>
      </w:r>
    </w:p>
    <w:p>
      <w:pPr>
        <w:pStyle w:val="Normal"/>
        <w:numPr>
          <w:ilvl w:val="0"/>
          <w:numId w:val="0"/>
        </w:numPr>
        <w:ind w:hanging="0" w:start="1267" w:end="0"/>
        <w:jc w:val="both"/>
        <w:rPr>
          <w:sz w:val="20"/>
          <w:szCs w:val="20"/>
        </w:rPr>
      </w:pPr>
      <w:r>
        <w:rPr>
          <w:sz w:val="20"/>
          <w:szCs w:val="20"/>
        </w:rPr>
      </w:r>
    </w:p>
    <w:p>
      <w:pPr>
        <w:pStyle w:val="Normal"/>
        <w:numPr>
          <w:ilvl w:val="0"/>
          <w:numId w:val="4"/>
        </w:numPr>
        <w:tabs>
          <w:tab w:val="clear" w:pos="540"/>
          <w:tab w:val="left" w:pos="0" w:leader="none"/>
          <w:tab w:val="left" w:pos="180" w:leader="none"/>
          <w:tab w:val="left" w:pos="360" w:leader="none"/>
        </w:tabs>
        <w:ind w:hanging="360" w:start="1627" w:end="0"/>
        <w:jc w:val="both"/>
        <w:rPr/>
      </w:pPr>
      <w:r>
        <w:rPr>
          <w:sz w:val="20"/>
          <w:szCs w:val="20"/>
          <w:u w:val="single"/>
        </w:rPr>
        <w:t>Current Status of SPA</w:t>
      </w:r>
      <w:r>
        <w:rPr>
          <w:sz w:val="20"/>
          <w:szCs w:val="20"/>
        </w:rPr>
        <w:t xml:space="preserve"> - Negotiations have been undertaken to modify the environmental indemnity scheme to better suit Enron's comfort level in the environmental area, as well as to address other areas of concern (e.g., representations and warranties, pension/benefit issues and tax issues), but no final agreement has been reached.  All disciplines are involved in the review and negotiation of the SPA, including outside counsel in both Canada and the US.  </w:t>
      </w:r>
    </w:p>
    <w:p>
      <w:pPr>
        <w:pStyle w:val="Normal"/>
        <w:jc w:val="both"/>
        <w:rPr>
          <w:sz w:val="20"/>
          <w:szCs w:val="20"/>
        </w:rPr>
      </w:pPr>
      <w:r>
        <w:rPr>
          <w:sz w:val="20"/>
          <w:szCs w:val="20"/>
        </w:rPr>
      </w:r>
    </w:p>
    <w:p>
      <w:pPr>
        <w:pStyle w:val="Normal"/>
        <w:jc w:val="both"/>
        <w:rPr>
          <w:sz w:val="20"/>
          <w:szCs w:val="20"/>
          <w:u w:val="single"/>
        </w:rPr>
      </w:pPr>
      <w:r>
        <w:rPr>
          <w:sz w:val="20"/>
          <w:szCs w:val="20"/>
          <w:u w:val="single"/>
        </w:rPr>
      </w:r>
    </w:p>
    <w:p>
      <w:pPr>
        <w:pStyle w:val="Normal"/>
        <w:jc w:val="both"/>
        <w:rPr>
          <w:sz w:val="20"/>
          <w:szCs w:val="20"/>
        </w:rPr>
      </w:pPr>
      <w:r>
        <w:rPr>
          <w:sz w:val="20"/>
          <w:szCs w:val="20"/>
        </w:rPr>
        <w:tab/>
      </w:r>
      <w:r>
        <w:rPr>
          <w:sz w:val="20"/>
          <w:szCs w:val="20"/>
          <w:u w:val="single"/>
        </w:rPr>
        <w:t>D.  Status of Due Diligence/Legal Risks Identified.</w:t>
      </w:r>
    </w:p>
    <w:p>
      <w:pPr>
        <w:pStyle w:val="Normal"/>
        <w:jc w:val="both"/>
        <w:rPr>
          <w:sz w:val="20"/>
          <w:szCs w:val="20"/>
        </w:rPr>
      </w:pPr>
      <w:r>
        <w:rPr>
          <w:sz w:val="20"/>
          <w:szCs w:val="20"/>
        </w:rPr>
        <w:t xml:space="preserve"> </w:t>
      </w:r>
    </w:p>
    <w:p>
      <w:pPr>
        <w:pStyle w:val="Normal"/>
        <w:numPr>
          <w:ilvl w:val="0"/>
          <w:numId w:val="5"/>
        </w:numPr>
        <w:tabs>
          <w:tab w:val="clear" w:pos="540"/>
          <w:tab w:val="left" w:pos="0" w:leader="none"/>
          <w:tab w:val="left" w:pos="180" w:leader="none"/>
          <w:tab w:val="left" w:pos="360" w:leader="none"/>
        </w:tabs>
        <w:ind w:hanging="907" w:start="1627" w:end="0"/>
        <w:jc w:val="both"/>
        <w:rPr/>
      </w:pPr>
      <w:r>
        <w:rPr>
          <w:sz w:val="20"/>
          <w:szCs w:val="20"/>
          <w:u w:val="single"/>
        </w:rPr>
        <w:t>Due Diligence Effort</w:t>
      </w:r>
      <w:r>
        <w:rPr>
          <w:sz w:val="20"/>
          <w:szCs w:val="20"/>
        </w:rPr>
        <w:t xml:space="preserve"> - Initiated in early September; however, because of the seller's limited scope of disclosure and availability of necessary information, the review process has been ongoing since that time.  Due diligence is currently near completion on all fronts, with environmental and benefits/HR still having some clean-up areas.</w:t>
      </w:r>
    </w:p>
    <w:p>
      <w:pPr>
        <w:pStyle w:val="Normal"/>
        <w:numPr>
          <w:ilvl w:val="0"/>
          <w:numId w:val="0"/>
        </w:numPr>
        <w:ind w:hanging="0" w:start="1267" w:end="0"/>
        <w:jc w:val="both"/>
        <w:rPr>
          <w:sz w:val="20"/>
          <w:szCs w:val="20"/>
        </w:rPr>
      </w:pPr>
      <w:r>
        <w:rPr>
          <w:sz w:val="20"/>
          <w:szCs w:val="20"/>
        </w:rPr>
      </w:r>
    </w:p>
    <w:p>
      <w:pPr>
        <w:pStyle w:val="Normal"/>
        <w:numPr>
          <w:ilvl w:val="0"/>
          <w:numId w:val="5"/>
        </w:numPr>
        <w:tabs>
          <w:tab w:val="clear" w:pos="540"/>
          <w:tab w:val="left" w:pos="0" w:leader="none"/>
          <w:tab w:val="left" w:pos="180" w:leader="none"/>
          <w:tab w:val="left" w:pos="360" w:leader="none"/>
        </w:tabs>
        <w:ind w:hanging="360" w:start="1627" w:end="0"/>
        <w:jc w:val="both"/>
        <w:rPr/>
      </w:pPr>
      <w:r>
        <w:rPr>
          <w:sz w:val="20"/>
          <w:szCs w:val="20"/>
          <w:u w:val="single"/>
        </w:rPr>
        <w:t>Severity of Legal Risks</w:t>
      </w:r>
      <w:r>
        <w:rPr>
          <w:sz w:val="20"/>
          <w:szCs w:val="20"/>
        </w:rPr>
        <w:t xml:space="preserve"> - No risks have been identified to date posing a significant risk to Enron.  Environmental operations are generally consistent with an 80-year-old facility and have been reviewed by two outside, independent environmental firms, as well as extremely competent local legal counsel.  </w:t>
      </w:r>
    </w:p>
    <w:p>
      <w:pPr>
        <w:pStyle w:val="Normal"/>
        <w:jc w:val="both"/>
        <w:rPr>
          <w:sz w:val="20"/>
          <w:szCs w:val="20"/>
        </w:rPr>
      </w:pPr>
      <w:r>
        <w:rPr>
          <w:sz w:val="20"/>
          <w:szCs w:val="20"/>
        </w:rPr>
      </w:r>
    </w:p>
    <w:p>
      <w:pPr>
        <w:pStyle w:val="Normal"/>
        <w:numPr>
          <w:ilvl w:val="0"/>
          <w:numId w:val="6"/>
        </w:numPr>
        <w:tabs>
          <w:tab w:val="clear" w:pos="540"/>
          <w:tab w:val="left" w:pos="0" w:leader="none"/>
          <w:tab w:val="left" w:pos="180" w:leader="none"/>
          <w:tab w:val="left" w:pos="360" w:leader="none"/>
        </w:tabs>
        <w:ind w:hanging="720" w:start="1440" w:end="0"/>
        <w:jc w:val="both"/>
        <w:rPr/>
      </w:pPr>
      <w:r>
        <w:rPr>
          <w:sz w:val="20"/>
          <w:szCs w:val="20"/>
          <w:u w:val="single"/>
        </w:rPr>
        <w:t>Identified Concerns</w:t>
      </w:r>
      <w:r>
        <w:rPr>
          <w:sz w:val="20"/>
          <w:szCs w:val="20"/>
        </w:rPr>
        <w:t xml:space="preserve"> - </w:t>
      </w:r>
    </w:p>
    <w:p>
      <w:pPr>
        <w:pStyle w:val="Normal"/>
        <w:numPr>
          <w:ilvl w:val="0"/>
          <w:numId w:val="0"/>
        </w:numPr>
        <w:ind w:hanging="0" w:start="1267" w:end="0"/>
        <w:jc w:val="both"/>
        <w:rPr>
          <w:sz w:val="20"/>
          <w:szCs w:val="20"/>
        </w:rPr>
      </w:pPr>
      <w:r>
        <w:rPr>
          <w:sz w:val="20"/>
          <w:szCs w:val="20"/>
        </w:rPr>
      </w:r>
    </w:p>
    <w:p>
      <w:pPr>
        <w:pStyle w:val="Normal"/>
        <w:numPr>
          <w:ilvl w:val="0"/>
          <w:numId w:val="7"/>
        </w:numPr>
        <w:tabs>
          <w:tab w:val="clear" w:pos="540"/>
          <w:tab w:val="left" w:pos="0" w:leader="none"/>
          <w:tab w:val="left" w:pos="180" w:leader="none"/>
          <w:tab w:val="left" w:pos="1080" w:leader="none"/>
        </w:tabs>
        <w:ind w:hanging="792" w:start="1800" w:end="0"/>
        <w:jc w:val="both"/>
        <w:rPr/>
      </w:pPr>
      <w:r>
        <w:rPr>
          <w:sz w:val="20"/>
          <w:szCs w:val="20"/>
          <w:u w:val="single"/>
        </w:rPr>
        <w:t>Hydrocarbon Spills/Emission Exceedences (Quebec Mill)</w:t>
      </w:r>
      <w:r>
        <w:rPr>
          <w:sz w:val="20"/>
          <w:szCs w:val="20"/>
        </w:rPr>
        <w:t xml:space="preserve"> - A site characterization of the Quebec City mill has determined that numerous hydrocarbon spills have occurred, as well as exceedances of emission releases.  The hydrocarbon spills are all contained and do not, at this time, threaten groundwater or appear to be migratory.  Further, current Quebec regulations do not require clean-up of these areas.  Exceedences have been corrected in accordance with sound business practices, and, while the Ministry of Environment has yet to make a claim based upon these exceedences, local outside counsel has assessed the risk of any such claim to be minimal.</w:t>
      </w:r>
    </w:p>
    <w:p>
      <w:pPr>
        <w:pStyle w:val="Normal"/>
        <w:numPr>
          <w:ilvl w:val="0"/>
          <w:numId w:val="0"/>
        </w:numPr>
        <w:ind w:hanging="0" w:start="1440" w:end="0"/>
        <w:jc w:val="both"/>
        <w:rPr>
          <w:sz w:val="20"/>
          <w:szCs w:val="20"/>
        </w:rPr>
      </w:pPr>
      <w:r>
        <w:rPr>
          <w:sz w:val="20"/>
          <w:szCs w:val="20"/>
        </w:rPr>
      </w:r>
    </w:p>
    <w:p>
      <w:pPr>
        <w:pStyle w:val="Normal"/>
        <w:numPr>
          <w:ilvl w:val="0"/>
          <w:numId w:val="7"/>
        </w:numPr>
        <w:tabs>
          <w:tab w:val="clear" w:pos="540"/>
          <w:tab w:val="left" w:pos="0" w:leader="none"/>
          <w:tab w:val="left" w:pos="180" w:leader="none"/>
          <w:tab w:val="left" w:pos="1080" w:leader="none"/>
        </w:tabs>
        <w:ind w:hanging="792" w:start="1800" w:end="0"/>
        <w:jc w:val="both"/>
        <w:rPr/>
      </w:pPr>
      <w:r>
        <w:rPr>
          <w:sz w:val="20"/>
          <w:szCs w:val="20"/>
          <w:u w:val="single"/>
        </w:rPr>
        <w:t>Boiler #3 (Quebec Mill)</w:t>
      </w:r>
      <w:r>
        <w:rPr>
          <w:sz w:val="20"/>
          <w:szCs w:val="20"/>
        </w:rPr>
        <w:t xml:space="preserve"> - Older boiler, used to burn wood waste and sludge (under appropriate authorizations), will not be able to meet proposed air emission regulations; however, upgrade and repair plan in place at capital cost of approximately $8MM.  Concern is that upgrades and repairs will not be sufficient to ensure future compliance.  Boiler replacement is estimated at $35MM (high side cost), but is not currently being viewed as a viable alternative.</w:t>
      </w:r>
    </w:p>
    <w:p>
      <w:pPr>
        <w:pStyle w:val="Normal"/>
        <w:numPr>
          <w:ilvl w:val="0"/>
          <w:numId w:val="0"/>
        </w:numPr>
        <w:ind w:hanging="0" w:start="1440" w:end="0"/>
        <w:jc w:val="both"/>
        <w:rPr>
          <w:sz w:val="20"/>
          <w:szCs w:val="20"/>
        </w:rPr>
      </w:pPr>
      <w:r>
        <w:rPr>
          <w:sz w:val="20"/>
          <w:szCs w:val="20"/>
        </w:rPr>
      </w:r>
    </w:p>
    <w:p>
      <w:pPr>
        <w:pStyle w:val="Normal"/>
        <w:numPr>
          <w:ilvl w:val="0"/>
          <w:numId w:val="7"/>
        </w:numPr>
        <w:tabs>
          <w:tab w:val="clear" w:pos="540"/>
          <w:tab w:val="left" w:pos="0" w:leader="none"/>
          <w:tab w:val="left" w:pos="180" w:leader="none"/>
          <w:tab w:val="left" w:pos="1080" w:leader="none"/>
        </w:tabs>
        <w:ind w:hanging="792" w:start="1800" w:end="0"/>
        <w:jc w:val="both"/>
        <w:rPr/>
      </w:pPr>
      <w:r>
        <w:rPr>
          <w:sz w:val="20"/>
          <w:szCs w:val="20"/>
          <w:u w:val="single"/>
        </w:rPr>
        <w:t>Business Non-Compete</w:t>
      </w:r>
      <w:r>
        <w:rPr>
          <w:sz w:val="20"/>
          <w:szCs w:val="20"/>
        </w:rPr>
        <w:t xml:space="preserve"> - 1999 sale of paper bag/counter newsprint business in Winnipeg contained non-compete clause applicable to seller (a DFPL subsidiary) and all affiliates, applicable for five years from date of closing and applicable within a geographic area encompassing all of Canada and the United States.  Research is not concise, but appears to indicate the non-compete provisions would not reach Enron as the new owner, nor would it impact Enron affiliates.  Legal opinion of opposing counsel is being sought; however, if necessary, a legal opinion from Enron's local Toronto counsel (BennettJones) can be obtained.</w:t>
      </w:r>
    </w:p>
    <w:p>
      <w:pPr>
        <w:pStyle w:val="Normal"/>
        <w:numPr>
          <w:ilvl w:val="0"/>
          <w:numId w:val="0"/>
        </w:numPr>
        <w:ind w:hanging="0" w:start="0"/>
        <w:jc w:val="both"/>
        <w:rPr>
          <w:sz w:val="20"/>
          <w:szCs w:val="20"/>
          <w:u w:val="single"/>
        </w:rPr>
      </w:pPr>
      <w:r>
        <w:rPr>
          <w:sz w:val="20"/>
          <w:szCs w:val="20"/>
          <w:u w:val="single"/>
        </w:rPr>
      </w:r>
    </w:p>
    <w:p>
      <w:pPr>
        <w:pStyle w:val="Normal"/>
        <w:numPr>
          <w:ilvl w:val="0"/>
          <w:numId w:val="8"/>
        </w:numPr>
        <w:tabs>
          <w:tab w:val="clear" w:pos="540"/>
          <w:tab w:val="left" w:pos="0" w:leader="none"/>
          <w:tab w:val="left" w:pos="180" w:leader="none"/>
          <w:tab w:val="left" w:pos="1080" w:leader="none"/>
        </w:tabs>
        <w:ind w:hanging="720" w:start="1728" w:end="0"/>
        <w:jc w:val="both"/>
        <w:rPr/>
      </w:pPr>
      <w:r>
        <w:rPr>
          <w:sz w:val="20"/>
          <w:szCs w:val="20"/>
          <w:u w:val="single"/>
        </w:rPr>
        <w:t>Directory Paper Supply Agreement</w:t>
      </w:r>
      <w:r>
        <w:rPr>
          <w:sz w:val="20"/>
          <w:szCs w:val="20"/>
        </w:rPr>
        <w:t xml:space="preserve"> - The seller also owns a directory paper mill in Washington State to which 2/3rds of the directory paper capacity from the Quebec mill is sold.  This quantity supplements </w:t>
      </w:r>
    </w:p>
    <w:p>
      <w:pPr>
        <w:pStyle w:val="Normal"/>
        <w:numPr>
          <w:ilvl w:val="0"/>
          <w:numId w:val="0"/>
        </w:numPr>
        <w:ind w:hanging="0" w:start="1267" w:end="0"/>
        <w:jc w:val="both"/>
        <w:rPr>
          <w:sz w:val="20"/>
          <w:szCs w:val="20"/>
        </w:rPr>
      </w:pPr>
      <w:r>
        <w:rPr>
          <w:sz w:val="20"/>
          <w:szCs w:val="20"/>
        </w:rPr>
      </w:r>
    </w:p>
    <w:p>
      <w:pPr>
        <w:pStyle w:val="Normal"/>
        <w:numPr>
          <w:ilvl w:val="0"/>
          <w:numId w:val="0"/>
        </w:numPr>
        <w:ind w:hanging="0" w:start="1267" w:end="0"/>
        <w:jc w:val="both"/>
        <w:rPr>
          <w:sz w:val="20"/>
          <w:szCs w:val="20"/>
        </w:rPr>
      </w:pPr>
      <w:r>
        <w:rPr>
          <w:sz w:val="20"/>
          <w:szCs w:val="20"/>
        </w:rPr>
      </w:r>
    </w:p>
    <w:p>
      <w:pPr>
        <w:pStyle w:val="Normal"/>
        <w:numPr>
          <w:ilvl w:val="0"/>
          <w:numId w:val="0"/>
        </w:numPr>
        <w:ind w:hanging="0" w:start="1267" w:end="0"/>
        <w:jc w:val="both"/>
        <w:rPr>
          <w:sz w:val="20"/>
          <w:szCs w:val="20"/>
        </w:rPr>
      </w:pPr>
      <w:r>
        <w:rPr>
          <w:sz w:val="20"/>
          <w:szCs w:val="20"/>
        </w:rPr>
      </w:r>
    </w:p>
    <w:p>
      <w:pPr>
        <w:pStyle w:val="Normal"/>
        <w:numPr>
          <w:ilvl w:val="0"/>
          <w:numId w:val="0"/>
        </w:numPr>
        <w:ind w:hanging="0" w:start="1267" w:end="0"/>
        <w:jc w:val="both"/>
        <w:rPr>
          <w:sz w:val="20"/>
          <w:szCs w:val="20"/>
        </w:rPr>
      </w:pPr>
      <w:r>
        <w:rPr>
          <w:sz w:val="20"/>
          <w:szCs w:val="20"/>
        </w:rPr>
        <w:tab/>
        <w:t>supply to US directory paper customers.  The Washington State facility is being sold to third party already in the directory paper business and, because of a separation of supply sources from one owner to two, a supply arrangement is being discussed.  Possible antitrust implications if negotiations do not remain focused on the continued supply needs of the directory paper customers under contract with the subsidiary owner of the Washington Mill through the end of the calendar year in 2002.</w:t>
      </w:r>
    </w:p>
    <w:p>
      <w:pPr>
        <w:pStyle w:val="Normal"/>
        <w:numPr>
          <w:ilvl w:val="0"/>
          <w:numId w:val="0"/>
        </w:numPr>
        <w:ind w:hanging="0" w:start="0"/>
        <w:jc w:val="both"/>
        <w:rPr>
          <w:sz w:val="20"/>
          <w:szCs w:val="20"/>
        </w:rPr>
      </w:pPr>
      <w:r>
        <w:rPr>
          <w:sz w:val="20"/>
          <w:szCs w:val="20"/>
        </w:rPr>
      </w:r>
    </w:p>
    <w:p>
      <w:pPr>
        <w:pStyle w:val="BodyText3"/>
        <w:numPr>
          <w:ilvl w:val="0"/>
          <w:numId w:val="0"/>
        </w:numPr>
        <w:ind w:hanging="0" w:start="0"/>
        <w:rPr>
          <w:u w:val="single"/>
        </w:rPr>
      </w:pPr>
      <w:r>
        <w:rPr>
          <w:u w:val="single"/>
        </w:rPr>
        <w:t>E.  Deal Status/Timeline.</w:t>
      </w:r>
    </w:p>
    <w:p>
      <w:pPr>
        <w:pStyle w:val="BodyText3"/>
        <w:numPr>
          <w:ilvl w:val="0"/>
          <w:numId w:val="0"/>
        </w:numPr>
        <w:ind w:hanging="0" w:start="0" w:end="0"/>
        <w:rPr>
          <w:u w:val="single"/>
        </w:rPr>
      </w:pPr>
      <w:r>
        <w:rPr>
          <w:u w:val="single"/>
        </w:rPr>
      </w:r>
    </w:p>
    <w:p>
      <w:pPr>
        <w:pStyle w:val="BodyText3"/>
        <w:numPr>
          <w:ilvl w:val="0"/>
          <w:numId w:val="8"/>
        </w:numPr>
        <w:tabs>
          <w:tab w:val="clear" w:pos="540"/>
          <w:tab w:val="left" w:pos="0" w:leader="none"/>
          <w:tab w:val="left" w:pos="180" w:leader="none"/>
          <w:tab w:val="left" w:pos="360" w:leader="none"/>
        </w:tabs>
        <w:ind w:hanging="907" w:start="1627" w:end="0"/>
        <w:rPr/>
      </w:pPr>
      <w:r>
        <w:rPr/>
        <w:t>DASH approval obtained 12/04/00.</w:t>
      </w:r>
    </w:p>
    <w:p>
      <w:pPr>
        <w:pStyle w:val="BodyText3"/>
        <w:numPr>
          <w:ilvl w:val="0"/>
          <w:numId w:val="0"/>
        </w:numPr>
        <w:ind w:hanging="0" w:start="1267" w:end="0"/>
        <w:rPr/>
      </w:pPr>
      <w:r>
        <w:rPr/>
      </w:r>
    </w:p>
    <w:p>
      <w:pPr>
        <w:pStyle w:val="BodyText3"/>
        <w:numPr>
          <w:ilvl w:val="0"/>
          <w:numId w:val="8"/>
        </w:numPr>
        <w:tabs>
          <w:tab w:val="clear" w:pos="540"/>
          <w:tab w:val="left" w:pos="0" w:leader="none"/>
          <w:tab w:val="left" w:pos="180" w:leader="none"/>
          <w:tab w:val="left" w:pos="360" w:leader="none"/>
        </w:tabs>
        <w:ind w:hanging="907" w:start="1627" w:end="0"/>
        <w:rPr/>
      </w:pPr>
      <w:r>
        <w:rPr/>
        <w:t>Board of Directors approval being sought on 12/12/00.</w:t>
      </w:r>
    </w:p>
    <w:p>
      <w:pPr>
        <w:pStyle w:val="BodyText3"/>
        <w:numPr>
          <w:ilvl w:val="0"/>
          <w:numId w:val="0"/>
        </w:numPr>
        <w:ind w:hanging="0" w:start="1267" w:end="0"/>
        <w:rPr/>
      </w:pPr>
      <w:r>
        <w:rPr/>
      </w:r>
    </w:p>
    <w:p>
      <w:pPr>
        <w:pStyle w:val="BodyText3"/>
        <w:numPr>
          <w:ilvl w:val="0"/>
          <w:numId w:val="8"/>
        </w:numPr>
        <w:tabs>
          <w:tab w:val="clear" w:pos="540"/>
          <w:tab w:val="left" w:pos="0" w:leader="none"/>
          <w:tab w:val="left" w:pos="180" w:leader="none"/>
          <w:tab w:val="left" w:pos="360" w:leader="none"/>
        </w:tabs>
        <w:ind w:hanging="907" w:start="1627" w:end="0"/>
        <w:rPr/>
      </w:pPr>
      <w:r>
        <w:rPr/>
        <w:t xml:space="preserve">Presuming Board Approval - </w:t>
      </w:r>
    </w:p>
    <w:p>
      <w:pPr>
        <w:pStyle w:val="BodyText3"/>
        <w:numPr>
          <w:ilvl w:val="0"/>
          <w:numId w:val="0"/>
        </w:numPr>
        <w:ind w:hanging="0" w:start="0" w:end="0"/>
        <w:rPr/>
      </w:pPr>
      <w:r>
        <w:rPr/>
      </w:r>
    </w:p>
    <w:p>
      <w:pPr>
        <w:pStyle w:val="BodyText3"/>
        <w:numPr>
          <w:ilvl w:val="1"/>
          <w:numId w:val="8"/>
        </w:numPr>
        <w:tabs>
          <w:tab w:val="clear" w:pos="540"/>
          <w:tab w:val="left" w:pos="0" w:leader="none"/>
          <w:tab w:val="left" w:pos="180" w:leader="none"/>
          <w:tab w:val="left" w:pos="1080" w:leader="none"/>
        </w:tabs>
        <w:ind w:hanging="720" w:start="1800" w:end="0"/>
        <w:rPr/>
      </w:pPr>
      <w:r>
        <w:rPr/>
        <w:t>Complete and sign SPA on or before 12/31/00</w:t>
      </w:r>
    </w:p>
    <w:p>
      <w:pPr>
        <w:pStyle w:val="BodyText3"/>
        <w:numPr>
          <w:ilvl w:val="0"/>
          <w:numId w:val="0"/>
        </w:numPr>
        <w:tabs>
          <w:tab w:val="left" w:pos="540" w:leader="none"/>
          <w:tab w:val="left" w:pos="1200" w:leader="none"/>
        </w:tabs>
        <w:ind w:hanging="0" w:start="1440" w:end="0"/>
        <w:rPr/>
      </w:pPr>
      <w:r>
        <w:rPr/>
      </w:r>
    </w:p>
    <w:p>
      <w:pPr>
        <w:pStyle w:val="BodyText3"/>
        <w:numPr>
          <w:ilvl w:val="1"/>
          <w:numId w:val="8"/>
        </w:numPr>
        <w:tabs>
          <w:tab w:val="clear" w:pos="540"/>
          <w:tab w:val="left" w:pos="0" w:leader="none"/>
          <w:tab w:val="left" w:pos="180" w:leader="none"/>
          <w:tab w:val="left" w:pos="1080" w:leader="none"/>
        </w:tabs>
        <w:ind w:hanging="720" w:start="1800" w:end="0"/>
        <w:rPr/>
      </w:pPr>
      <w:r>
        <w:rPr/>
        <w:t>Make necessary government filings for consent (Investment Canada, Canadian Competition Act, HSR) - if based on a 12/31/00 signing date, approvals anticipated 2/15/01.</w:t>
      </w:r>
    </w:p>
    <w:p>
      <w:pPr>
        <w:pStyle w:val="BodyText3"/>
        <w:numPr>
          <w:ilvl w:val="0"/>
          <w:numId w:val="0"/>
        </w:numPr>
        <w:ind w:hanging="0" w:start="1440" w:end="0"/>
        <w:rPr/>
      </w:pPr>
      <w:r>
        <w:rPr/>
      </w:r>
    </w:p>
    <w:p>
      <w:pPr>
        <w:pStyle w:val="BodyText3"/>
        <w:numPr>
          <w:ilvl w:val="1"/>
          <w:numId w:val="8"/>
        </w:numPr>
        <w:tabs>
          <w:tab w:val="clear" w:pos="540"/>
          <w:tab w:val="left" w:pos="0" w:leader="none"/>
          <w:tab w:val="left" w:pos="180" w:leader="none"/>
          <w:tab w:val="left" w:pos="1080" w:leader="none"/>
        </w:tabs>
        <w:ind w:hanging="360" w:start="1800" w:end="0"/>
        <w:rPr/>
      </w:pPr>
      <w:r>
        <w:rPr/>
        <w:t>Deal Closure - On or before 2/28/00</w:t>
      </w:r>
    </w:p>
    <w:p>
      <w:pPr>
        <w:pStyle w:val="BodyText3"/>
        <w:rPr/>
      </w:pPr>
      <w:r>
        <w:rPr/>
      </w:r>
    </w:p>
    <w:p>
      <w:pPr>
        <w:pStyle w:val="BodyText3"/>
        <w:rPr/>
      </w:pPr>
      <w:r>
        <w:rPr/>
      </w:r>
    </w:p>
    <w:p>
      <w:pPr>
        <w:pStyle w:val="BodyText3"/>
        <w:rPr/>
      </w:pPr>
      <w:r>
        <w:rPr/>
      </w:r>
    </w:p>
    <w:p>
      <w:pPr>
        <w:pStyle w:val="BodyText3"/>
        <w:rPr/>
      </w:pPr>
      <w:r>
        <w:rPr/>
        <w:tab/>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r>
    </w:p>
    <w:p>
      <w:pPr>
        <w:pStyle w:val="BodyText3"/>
        <w:rPr/>
      </w:pPr>
      <w:r>
        <w:rPr/>
        <w:t>c:</w:t>
        <w:tab/>
        <w:t>J. Murray</w:t>
      </w:r>
    </w:p>
    <w:p>
      <w:pPr>
        <w:pStyle w:val="BodyText3"/>
        <w:rPr/>
      </w:pPr>
      <w:r>
        <w:rPr/>
        <w:tab/>
        <w:t>J. Boudreaux</w:t>
      </w:r>
    </w:p>
    <w:p>
      <w:pPr>
        <w:pStyle w:val="BodyText3"/>
        <w:rPr/>
      </w:pPr>
      <w:r>
        <w:rPr/>
        <w:tab/>
        <w:t>P. del Vecchio</w:t>
      </w:r>
    </w:p>
    <w:sectPr>
      <w:headerReference w:type="default" r:id="rId3"/>
      <w:headerReference w:type="first" r:id="rId4"/>
      <w:type w:val="nextPage"/>
      <w:pgSz w:w="12240" w:h="15840"/>
      <w:pgMar w:left="720" w:right="720" w:gutter="0" w:header="720" w:top="1008" w:footer="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 w:name="Wingdings">
    <w:altName w:val="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Transaction Overview Memorandum – Daishowa Forest Products, Ltd.</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Ø"/>
      <w:lvlJc w:val="start"/>
      <w:pPr>
        <w:tabs>
          <w:tab w:val="num" w:pos="360"/>
        </w:tabs>
        <w:ind w:start="360" w:hanging="360"/>
      </w:pPr>
      <w:rPr>
        <w:rFonts w:ascii="Wingdings" w:hAnsi="Wingdings" w:cs="Wingdings"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360"/>
        </w:tabs>
        <w:ind w:start="36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FootnoteText">
    <w:name w:val="footnote text"/>
    <w:basedOn w:val="Normal"/>
    <w:pPr/>
    <w:rPr>
      <w:sz w:val="20"/>
      <w:szCs w:val="20"/>
    </w:rPr>
  </w:style>
  <w:style w:type="paragraph" w:styleId="BodyText3">
    <w:name w:val="Body Text 3"/>
    <w:basedOn w:val="Normal"/>
    <w:qFormat/>
    <w:pPr>
      <w:jc w:val="both"/>
    </w:pPr>
    <w:rPr>
      <w:sz w:val="20"/>
      <w:szCs w:val="20"/>
    </w:rPr>
  </w:style>
  <w:style w:type="paragraph" w:styleId="BodyText2">
    <w:name w:val="Body Text 2"/>
    <w:basedOn w:val="Normal"/>
    <w:qFormat/>
    <w:pPr>
      <w:tabs>
        <w:tab w:val="clear" w:pos="540"/>
      </w:tabs>
      <w:ind w:firstLine="720" w:start="0" w:end="0"/>
      <w:jc w:val="both"/>
    </w:pPr>
    <w:rPr>
      <w:rFonts w:ascii="Times New Roman" w:hAnsi="Times New Roman" w:eastAsia="Times New Roman" w:cs="Times New Roman"/>
      <w:b/>
      <w:bCs/>
    </w:rPr>
  </w:style>
  <w:style w:type="paragraph" w:styleId="WW-BodyText2">
    <w:name w:val="WW-Body Text 2"/>
    <w:basedOn w:val="Normal"/>
    <w:qFormat/>
    <w:pPr>
      <w:ind w:firstLine="720" w:start="0" w:end="0"/>
      <w:jc w:val="both"/>
    </w:pPr>
    <w:rPr>
      <w:sz w:val="20"/>
      <w:szCs w:val="20"/>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2000-12-11T14:39:00Z</dcterms:created>
  <dc:creator>Enron</dc:creator>
  <dc:description/>
  <dc:language>en-CA</dc:language>
  <cp:lastModifiedBy>mgreenbe</cp:lastModifiedBy>
  <cp:lastPrinted>2000-12-11T11:17:00Z</cp:lastPrinted>
  <dcterms:modified xsi:type="dcterms:W3CDTF">2000-12-11T14:47:00Z</dcterms:modified>
  <cp:revision>3</cp:revision>
  <dc:subject>The Subject of the Memo</dc:subject>
  <dc:title>Eron Capital &amp; Trade Resources Memo</dc:title>
</cp:coreProperties>
</file>