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spacing w:before="0" w:after="360"/>
        <w:jc w:val="center"/>
        <w:rPr>
          <w:b/>
          <w:smallCaps/>
        </w:rPr>
      </w:pPr>
      <w:r>
        <w:rPr>
          <w:b/>
          <w:smallCaps/>
        </w:rPr>
      </w:r>
    </w:p>
    <w:p>
      <w:pPr>
        <w:pStyle w:val="Normal"/>
        <w:spacing w:before="0" w:after="360"/>
        <w:jc w:val="center"/>
        <w:rPr>
          <w:b/>
          <w:smallCaps/>
        </w:rPr>
      </w:pPr>
      <w:r>
        <w:rPr>
          <w:b/>
          <w:smallCaps/>
        </w:rPr>
        <w:t>Memorandum</w:t>
      </w:r>
    </w:p>
    <w:p>
      <w:pPr>
        <w:pStyle w:val="DeliveryPhrase"/>
        <w:rPr/>
      </w:pPr>
      <w:r>
        <w:rPr/>
        <w:t>Attorney Work Product</w:t>
      </w:r>
    </w:p>
    <w:tbl>
      <w:tblPr>
        <w:tblW w:w="9576" w:type="dxa"/>
        <w:jc w:val="start"/>
        <w:tblInd w:w="0" w:type="dxa"/>
        <w:tblLayout w:type="fixed"/>
        <w:tblCellMar>
          <w:top w:w="0" w:type="dxa"/>
          <w:start w:w="0" w:type="dxa"/>
          <w:bottom w:w="0" w:type="dxa"/>
          <w:end w:w="0" w:type="dxa"/>
        </w:tblCellMar>
      </w:tblPr>
      <w:tblGrid>
        <w:gridCol w:w="1440"/>
        <w:gridCol w:w="3870"/>
        <w:gridCol w:w="1170"/>
        <w:gridCol w:w="3096"/>
      </w:tblGrid>
      <w:tr>
        <w:trPr/>
        <w:tc>
          <w:tcPr>
            <w:tcW w:w="1440" w:type="dxa"/>
            <w:tcBorders/>
          </w:tcPr>
          <w:p>
            <w:pPr>
              <w:pStyle w:val="Normal"/>
              <w:snapToGrid w:val="false"/>
              <w:rPr/>
            </w:pPr>
            <w:r>
              <w:rPr/>
            </w:r>
          </w:p>
        </w:tc>
        <w:tc>
          <w:tcPr>
            <w:tcW w:w="3870" w:type="dxa"/>
            <w:tcBorders/>
          </w:tcPr>
          <w:p>
            <w:pPr>
              <w:pStyle w:val="Normal"/>
              <w:snapToGrid w:val="false"/>
              <w:spacing w:before="0" w:after="120"/>
              <w:ind w:end="432"/>
              <w:rPr/>
            </w:pPr>
            <w:r>
              <w:rPr/>
            </w:r>
          </w:p>
        </w:tc>
        <w:tc>
          <w:tcPr>
            <w:tcW w:w="1170" w:type="dxa"/>
            <w:tcBorders/>
          </w:tcPr>
          <w:p>
            <w:pPr>
              <w:pStyle w:val="Normal"/>
              <w:snapToGrid w:val="false"/>
              <w:rPr/>
            </w:pPr>
            <w:r>
              <w:rPr/>
            </w:r>
          </w:p>
        </w:tc>
        <w:tc>
          <w:tcPr>
            <w:tcW w:w="3096" w:type="dxa"/>
            <w:tcBorders/>
          </w:tcPr>
          <w:p>
            <w:pPr>
              <w:pStyle w:val="Normal"/>
              <w:spacing w:before="0" w:after="120"/>
              <w:ind w:end="216"/>
              <w:jc w:val="end"/>
              <w:rPr>
                <w:sz w:val="20"/>
              </w:rPr>
            </w:pPr>
            <w:r>
              <w:rPr>
                <w:sz w:val="20"/>
              </w:rPr>
              <w:t>FILE NO:  35509.00300</w:t>
            </w:r>
          </w:p>
        </w:tc>
      </w:tr>
      <w:tr>
        <w:trPr/>
        <w:tc>
          <w:tcPr>
            <w:tcW w:w="1440" w:type="dxa"/>
            <w:tcBorders/>
          </w:tcPr>
          <w:p>
            <w:pPr>
              <w:pStyle w:val="Normal"/>
              <w:spacing w:before="0" w:after="120"/>
              <w:rPr/>
            </w:pPr>
            <w:r>
              <w:rPr/>
              <w:t>TO:</w:t>
            </w:r>
          </w:p>
        </w:tc>
        <w:tc>
          <w:tcPr>
            <w:tcW w:w="3870" w:type="dxa"/>
            <w:tcBorders/>
          </w:tcPr>
          <w:p>
            <w:pPr>
              <w:pStyle w:val="Normal"/>
              <w:spacing w:before="0" w:after="120"/>
              <w:ind w:end="432"/>
              <w:rPr/>
            </w:pPr>
            <w:r>
              <w:rPr/>
              <w:t>Enron/NSM Litigation:</w:t>
            </w:r>
          </w:p>
          <w:p>
            <w:pPr>
              <w:pStyle w:val="Normal"/>
              <w:spacing w:before="0" w:after="120"/>
              <w:ind w:end="432"/>
              <w:rPr/>
            </w:pPr>
            <w:r>
              <w:rPr/>
              <w:t xml:space="preserve">          </w:t>
            </w:r>
            <w:r>
              <w:rPr/>
              <w:t>Stickler Witness File</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CC:</w:t>
            </w:r>
          </w:p>
        </w:tc>
        <w:tc>
          <w:tcPr>
            <w:tcW w:w="3870" w:type="dxa"/>
            <w:tcBorders/>
          </w:tcPr>
          <w:p>
            <w:pPr>
              <w:pStyle w:val="Normal"/>
              <w:spacing w:before="0" w:after="120"/>
              <w:ind w:end="432"/>
              <w:rPr/>
            </w:pPr>
            <w:r>
              <w:rPr/>
              <w:t>Richard Sanders</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spacing w:before="0" w:after="120"/>
              <w:rPr/>
            </w:pPr>
            <w:r>
              <w:rPr/>
              <w:t>FROM:</w:t>
            </w:r>
          </w:p>
        </w:tc>
        <w:tc>
          <w:tcPr>
            <w:tcW w:w="3870" w:type="dxa"/>
            <w:tcBorders/>
          </w:tcPr>
          <w:p>
            <w:pPr>
              <w:pStyle w:val="Normal"/>
              <w:spacing w:before="0" w:after="120"/>
              <w:ind w:end="432"/>
              <w:rPr/>
            </w:pPr>
            <w:r>
              <w:rPr/>
              <w:t>Steve Howard</w:t>
            </w:r>
          </w:p>
        </w:tc>
        <w:tc>
          <w:tcPr>
            <w:tcW w:w="4266" w:type="dxa"/>
            <w:gridSpan w:val="2"/>
            <w:tcBorders/>
          </w:tcPr>
          <w:p>
            <w:pPr>
              <w:pStyle w:val="Normal"/>
              <w:snapToGrid w:val="false"/>
              <w:spacing w:before="0" w:after="120"/>
              <w:ind w:end="216"/>
              <w:rPr/>
            </w:pPr>
            <w:r>
              <w:rPr/>
            </w:r>
          </w:p>
        </w:tc>
      </w:tr>
      <w:tr>
        <w:trPr/>
        <w:tc>
          <w:tcPr>
            <w:tcW w:w="1440" w:type="dxa"/>
            <w:tcBorders/>
          </w:tcPr>
          <w:p>
            <w:pPr>
              <w:pStyle w:val="Normal"/>
              <w:rPr/>
            </w:pPr>
            <w:r>
              <w:rPr/>
              <w:t>DATE:</w:t>
            </w:r>
          </w:p>
        </w:tc>
        <w:tc>
          <w:tcPr>
            <w:tcW w:w="8136" w:type="dxa"/>
            <w:gridSpan w:val="3"/>
            <w:tcBorders/>
          </w:tcPr>
          <w:p>
            <w:pPr>
              <w:pStyle w:val="Normal"/>
              <w:spacing w:before="0" w:after="120"/>
              <w:ind w:end="216"/>
              <w:rPr>
                <w:lang w:val="en-CA"/>
              </w:rPr>
            </w:pPr>
            <w:r>
              <w:rPr>
                <w:lang w:val="en-CA"/>
              </w:rPr>
              <w:fldChar w:fldCharType="begin"/>
            </w:r>
            <w:r>
              <w:rPr>
                <w:lang w:val="en-CA"/>
              </w:rPr>
              <w:instrText xml:space="preserve"> DATE \@"MMMM\ d', 'yyyy" </w:instrText>
            </w:r>
            <w:r>
              <w:rPr>
                <w:lang w:val="en-CA"/>
              </w:rPr>
              <w:fldChar w:fldCharType="separate"/>
            </w:r>
            <w:r>
              <w:rPr>
                <w:lang w:val="en-CA"/>
              </w:rPr>
              <w:t>September 28, 2025</w:t>
            </w:r>
            <w:r>
              <w:rPr>
                <w:lang w:val="en-CA"/>
              </w:rPr>
              <w:fldChar w:fldCharType="end"/>
            </w:r>
          </w:p>
        </w:tc>
      </w:tr>
      <w:tr>
        <w:trPr/>
        <w:tc>
          <w:tcPr>
            <w:tcW w:w="1440" w:type="dxa"/>
            <w:tcBorders/>
          </w:tcPr>
          <w:p>
            <w:pPr>
              <w:pStyle w:val="Normal"/>
              <w:spacing w:before="0" w:after="120"/>
              <w:rPr/>
            </w:pPr>
            <w:r>
              <w:rPr/>
              <w:t>RE:</w:t>
            </w:r>
          </w:p>
        </w:tc>
        <w:tc>
          <w:tcPr>
            <w:tcW w:w="8136" w:type="dxa"/>
            <w:gridSpan w:val="3"/>
            <w:tcBorders/>
          </w:tcPr>
          <w:p>
            <w:pPr>
              <w:pStyle w:val="Normal"/>
              <w:spacing w:before="0" w:after="120"/>
              <w:ind w:end="216"/>
              <w:rPr/>
            </w:pPr>
            <w:r>
              <w:rPr/>
              <w:t>Stickler's Fourth, Fifth, and Sixth Days of Deposition - 9/28-29/00</w:t>
            </w:r>
          </w:p>
        </w:tc>
      </w:tr>
      <w:tr>
        <w:trPr/>
        <w:tc>
          <w:tcPr>
            <w:tcW w:w="9576" w:type="dxa"/>
            <w:gridSpan w:val="4"/>
            <w:tcBorders>
              <w:top w:val="double" w:sz="4" w:space="0" w:color="000000"/>
            </w:tcBorders>
            <w:tcMar>
              <w:start w:w="108" w:type="dxa"/>
              <w:end w:w="108" w:type="dxa"/>
            </w:tcMar>
          </w:tcPr>
          <w:p>
            <w:pPr>
              <w:pStyle w:val="Normal"/>
              <w:snapToGrid w:val="false"/>
              <w:rPr/>
            </w:pPr>
            <w:r>
              <w:rPr/>
            </w:r>
          </w:p>
        </w:tc>
      </w:tr>
    </w:tbl>
    <w:p>
      <w:pPr>
        <w:pStyle w:val="BodyText"/>
        <w:rPr/>
      </w:pPr>
      <w:r>
        <w:rPr/>
        <w:t>David Stickler's deposition continued on Thursday, Friday, and Saturday, September 28-30, 2000.  Tom Hatch asked all of the questions all three days, with no apparent end in sight.</w:t>
      </w:r>
    </w:p>
    <w:p>
      <w:pPr>
        <w:pStyle w:val="BodyText"/>
        <w:rPr/>
      </w:pPr>
      <w:r>
        <w:rPr/>
      </w:r>
    </w:p>
    <w:p>
      <w:pPr>
        <w:pStyle w:val="BodyText"/>
        <w:ind w:hanging="0" w:end="0"/>
        <w:jc w:val="center"/>
        <w:rPr>
          <w:u w:val="single"/>
        </w:rPr>
      </w:pPr>
      <w:r>
        <w:rPr>
          <w:u w:val="single"/>
        </w:rPr>
        <w:t>Fourth Day</w:t>
      </w:r>
    </w:p>
    <w:p>
      <w:pPr>
        <w:pStyle w:val="BodyText"/>
        <w:rPr/>
      </w:pPr>
      <w:r>
        <w:rPr/>
        <w:t xml:space="preserve">In the final deal structure, $50m principal, along with accrued interest, had to be prepaid to the Thai banks in order to get them to release their first position in the collateral, so that the collateral could be pledged to the bondholders.  (I believe that the Thai banks and the bondholders were then </w:t>
      </w:r>
      <w:r>
        <w:rPr>
          <w:u w:val="single"/>
        </w:rPr>
        <w:t>pari pasu</w:t>
      </w:r>
      <w:r>
        <w:rPr/>
        <w:t>.  The offering memo said that the amount of interest to be prepaid to the Thai banks was $8m.  A supplement to the prospectus was issued in mid to late March advising that the accrued interest payment was $18 m, not $8m (Ex 125).  Although in fact issued several days after the closing on March 12, 1998 (actually 3/15/98 I am told), the supplement bore a date of March 12, 1998.  A lot of the deposition questions were focused on showing that Stickler and others (not Enron) knew before the closing that the accrued interest payment to the Thai banks would have to be substantially more than $8m.</w:t>
      </w:r>
    </w:p>
    <w:p>
      <w:pPr>
        <w:pStyle w:val="BodyText"/>
        <w:rPr/>
      </w:pPr>
      <w:r>
        <w:rPr/>
        <w:t>Over time Stickler seems less intent on mentioning Enron at every turn.  Nonetheless he reached out to name Enron as among those who received drafts of the offering memorandum.</w:t>
      </w:r>
    </w:p>
    <w:p>
      <w:pPr>
        <w:pStyle w:val="BodyText"/>
        <w:rPr/>
      </w:pPr>
      <w:r>
        <w:rPr/>
        <w:t xml:space="preserve">Stickler has a ready explanation for everything, but often not convincing—except that </w:t>
      </w:r>
      <w:r>
        <w:rPr>
          <w:u w:val="single"/>
        </w:rPr>
        <w:t>he</w:t>
      </w:r>
      <w:r>
        <w:rPr/>
        <w:t xml:space="preserve"> seem to believe his own bull shit.</w:t>
      </w:r>
    </w:p>
    <w:p>
      <w:pPr>
        <w:pStyle w:val="BodyText"/>
        <w:rPr/>
      </w:pPr>
      <w:r>
        <w:rPr/>
        <w:t>It looks from the documents as if the primary drafters of the offering memorandum were NSM, Gleacher NatWest, and their lawyers—not so much McDonald.  The real underwriting—selling—was done by GNW.  GNW coordinated the road shows.  GNW decided who could be in underwriting group and who could not.</w:t>
      </w:r>
    </w:p>
    <w:p>
      <w:pPr>
        <w:pStyle w:val="BodyText"/>
        <w:rPr/>
      </w:pPr>
      <w:r>
        <w:rPr/>
        <w:t>NSM's deal with GNW was that underwriters would get 3.75% of offering proceeds as a fee, of which at least 75% would go to GNW</w:t>
      </w:r>
    </w:p>
    <w:p>
      <w:pPr>
        <w:pStyle w:val="BodyText"/>
        <w:rPr/>
      </w:pPr>
      <w:r>
        <w:rPr/>
        <w:t>We should attempt to identify White &amp; Case's list for distribution of  drafts of the offering memorandum.</w:t>
      </w:r>
    </w:p>
    <w:p>
      <w:pPr>
        <w:pStyle w:val="BodyText"/>
        <w:rPr/>
      </w:pPr>
      <w:r>
        <w:rPr/>
        <w:t>Stickler quoting Busse:  "My mill is an A.  This mill is an A+."</w:t>
      </w:r>
    </w:p>
    <w:p>
      <w:pPr>
        <w:pStyle w:val="BodyText"/>
        <w:rPr/>
      </w:pPr>
      <w:r>
        <w:rPr/>
        <w:t>Stickler ignored Schultes' calls until Busse called Stickler and urged him to talk to Schultes.</w:t>
      </w:r>
    </w:p>
    <w:p>
      <w:pPr>
        <w:pStyle w:val="BodyText"/>
        <w:rPr/>
      </w:pPr>
      <w:r>
        <w:rPr/>
        <w:t>Stickler:  Bonds could have been sold without SDI involvement, but interest rate would have been higher.</w:t>
      </w:r>
    </w:p>
    <w:p>
      <w:pPr>
        <w:pStyle w:val="BodyText"/>
        <w:rPr/>
      </w:pPr>
      <w:r>
        <w:rPr/>
        <w:t>This was Stickler's first Rule 144 offering.  SDI had been an S-1 registered offering.</w:t>
      </w:r>
    </w:p>
    <w:p>
      <w:pPr>
        <w:pStyle w:val="BodyText"/>
        <w:rPr/>
      </w:pPr>
      <w:r>
        <w:rPr/>
        <w:t>Hatch took Stickler through various drafts of the off-take agreements.  Stickler insisted that they were firm obligations and not merely best efforts.  When shown the documents, Stickler variously said that we don't understand what the words really say or it does not matter what the documents say—just something the lawyers prepare, the parties know what the deal is.  He insisted that the final agreements (which I think were finalized only after the pricing on 3/2 and maybe after the closing on 3/12/98) absolutely require Preussag and Klockner to each purchase 50% of the export production of NSM.  The only annual negotiation would be how much of product NSM would sell domestically and how much in export market.  (NSM could sell no more than 20% domestically. Preussag insisted.)  Sticker argues, to explain away some documents, that in any given month, P + K did not have to take 100%  of 1/12 of the agreed amount.  They could hold back, but at the end of the year, P + K had to each deliver checks for the purchase price of the entire agreed annual amount to be purchased (less any amounts already paid.)  Stickler did not look good on this subject.  Final off-takes are Exs 537 and 538 (dated as amended 3/12/98, earlier versions signed on 11/19/98.).  See also Ex 531.</w:t>
      </w:r>
    </w:p>
    <w:p>
      <w:pPr>
        <w:pStyle w:val="BodyText"/>
        <w:rPr/>
      </w:pPr>
      <w:r>
        <w:rPr/>
        <w:t>[His attitude was similar about responsibilities under the NSM/ManCo agreement—parties knew what the agreement was, doesn't mater what knits the lawyers write to carry out their agenda.</w:t>
      </w:r>
    </w:p>
    <w:p>
      <w:pPr>
        <w:pStyle w:val="BodyText"/>
        <w:rPr/>
      </w:pPr>
      <w:r>
        <w:rPr/>
        <w:t>The issue of best efforts v. firm obligation was raised by Walter Hunnicut of KPMG.  He allegedly did not understand the documents.</w:t>
      </w:r>
    </w:p>
    <w:p>
      <w:pPr>
        <w:pStyle w:val="BodyText"/>
        <w:rPr/>
      </w:pPr>
      <w:r>
        <w:rPr/>
        <w:t>GNW handled all of the communications with the rating agencies.</w:t>
      </w:r>
    </w:p>
    <w:p>
      <w:pPr>
        <w:pStyle w:val="BodyText"/>
        <w:rPr/>
      </w:pPr>
      <w:r>
        <w:rPr/>
        <w:t>Ex 817 is a presentation to the rating agencies.  Hatch effectively shows that it has many misrepresentations in it—often representing as currently true things that NSM is still negotiating for and hopes to get.</w:t>
      </w:r>
    </w:p>
    <w:p>
      <w:pPr>
        <w:pStyle w:val="BodyText"/>
        <w:rPr/>
      </w:pPr>
      <w:r>
        <w:rPr/>
        <w:t>Stickler says that the research departments of McDonald, Nucor, SDI , Koch, and Enron all signed letters like Ex 736.</w:t>
      </w:r>
    </w:p>
    <w:p>
      <w:pPr>
        <w:pStyle w:val="BodyText"/>
        <w:rPr/>
      </w:pPr>
      <w:r>
        <w:rPr/>
        <w:t xml:space="preserve">PaineWeber became an underwriter </w:t>
      </w:r>
      <w:r>
        <w:rPr>
          <w:u w:val="single"/>
        </w:rPr>
        <w:t>after</w:t>
      </w:r>
      <w:r>
        <w:rPr/>
        <w:t xml:space="preserve"> Marcus' report was delivered.</w:t>
      </w:r>
    </w:p>
    <w:p>
      <w:pPr>
        <w:pStyle w:val="BodyText"/>
        <w:rPr/>
      </w:pPr>
      <w:r>
        <w:rPr/>
        <w:t>White &amp; Case were GNW's regular counsel.  GNW suggested that W&amp;C represent NSM.</w:t>
      </w:r>
    </w:p>
    <w:p>
      <w:pPr>
        <w:pStyle w:val="BodyText"/>
        <w:rPr/>
      </w:pPr>
      <w:r>
        <w:rPr/>
        <w:t>Stickler was fairly hostile about Nucor, claimed they kept trying to renegotiate after a point had already  been agreed on, claimed that they would never have pulled out under prior management.</w:t>
      </w:r>
    </w:p>
    <w:p>
      <w:pPr>
        <w:pStyle w:val="BodyText"/>
        <w:rPr/>
      </w:pPr>
      <w:r>
        <w:rPr/>
        <w:t>Stickler says that Enron was in a meeting at GNW's NY offices in October 1977 with Nucor.</w:t>
      </w:r>
    </w:p>
    <w:p>
      <w:pPr>
        <w:pStyle w:val="BodyText"/>
        <w:rPr/>
      </w:pPr>
      <w:r>
        <w:rPr/>
        <w:t>Ex 827 -  a presentation to LTV – appears to have a lot of false stuff in it.</w:t>
      </w:r>
    </w:p>
    <w:p>
      <w:pPr>
        <w:pStyle w:val="BodyText"/>
        <w:rPr/>
      </w:pPr>
      <w:r>
        <w:rPr/>
        <w:t>Stickler claims that there was way too much investment demand for equity in NSM to go around.  People who did get equity had to buy "C" bonds to get the equity (except for the private placement for those who had made a real contribution of the success of the financing.)</w:t>
      </w:r>
    </w:p>
    <w:p>
      <w:pPr>
        <w:pStyle w:val="BodyText"/>
        <w:rPr/>
      </w:pPr>
      <w:r>
        <w:rPr/>
        <w:t>Original Management Co was Enron, Koch, and McD.</w:t>
      </w:r>
    </w:p>
    <w:p>
      <w:pPr>
        <w:pStyle w:val="BodyText"/>
        <w:rPr/>
      </w:pPr>
      <w:r>
        <w:rPr/>
        <w:t xml:space="preserve">SDI was originally to contract with NSM, switched to a contract with ManCo solely to accommodate SDI's desire to avoid consolidation.  Then Busse decided that it would  be important for Keith himself to be on ManCo.  Hatch says no, Busse given spot on ManCo so that it would look like Busse was running the place and not acting merely as a consultant.  Stickler:  Busse </w:t>
      </w:r>
      <w:r>
        <w:rPr>
          <w:u w:val="single"/>
        </w:rPr>
        <w:t>wanted</w:t>
      </w:r>
      <w:r>
        <w:rPr/>
        <w:t xml:space="preserve"> to be on ManCo, wanted to be active.</w:t>
      </w:r>
    </w:p>
    <w:p>
      <w:pPr>
        <w:pStyle w:val="BodyText"/>
        <w:rPr/>
      </w:pPr>
      <w:r>
        <w:rPr/>
      </w:r>
    </w:p>
    <w:p>
      <w:pPr>
        <w:pStyle w:val="BodyText"/>
        <w:ind w:hanging="0" w:end="0"/>
        <w:jc w:val="center"/>
        <w:rPr>
          <w:u w:val="single"/>
        </w:rPr>
      </w:pPr>
      <w:r>
        <w:rPr>
          <w:u w:val="single"/>
        </w:rPr>
        <w:t>Fifth Day</w:t>
      </w:r>
    </w:p>
    <w:p>
      <w:pPr>
        <w:pStyle w:val="BodyText"/>
        <w:rPr/>
      </w:pPr>
      <w:r>
        <w:rPr/>
        <w:t xml:space="preserve">Exhibit 549 (dated 3/4/98, </w:t>
      </w:r>
      <w:r>
        <w:rPr>
          <w:u w:val="single"/>
        </w:rPr>
        <w:t>after</w:t>
      </w:r>
      <w:r>
        <w:rPr/>
        <w:t xml:space="preserve"> pricing—ManCo agreement not finalized and signed until 3/12/98, ten days after prospectus issued and bonds priced) is an AGSHF memo submitting various requests to make changes in drafts of, or to create drafts of, documents important to Enron's various investments—i.e., Akin Gump was representing Enron as a party in the deal.  Smythe wants NSM/ManCo agreement modified to say what Offering Memo said that it said.  But his focus is not a concern about the adequacy of the disclosure; his focus is on the fact that Enron wants the agreement to read in final the way the OM describes the agreement, because that is better for Enron (and other investors.)  Basic problem:  SDI has absolute right to $2m payment annually and the description of what they are to do for the $2m is very vague.</w:t>
      </w:r>
    </w:p>
    <w:p>
      <w:pPr>
        <w:pStyle w:val="BodyText"/>
        <w:rPr/>
      </w:pPr>
      <w:r>
        <w:rPr/>
        <w:t xml:space="preserve">At one point Hatch asked who Stickler talked with about the start up of the mill.  Stickler responded SDI, Enron, and McDonald.  Hatch:  Who at Enron did you talk to?  Stickler:  I would have talked to Kevin?  Hatch:  No, I don't want "would have."  Do you actually remember talking to Kevin about start up.?  Stickler:  No, I can't. </w:t>
      </w:r>
    </w:p>
    <w:p>
      <w:pPr>
        <w:pStyle w:val="BodyText"/>
        <w:rPr/>
      </w:pPr>
      <w:r>
        <w:rPr/>
        <w:t>OM projections were as of 12/17/97.  But lots of internal projections were generated for NSM  in Jan, Feb, and early March, 1998—all over the place and not consistent with the 12/17/97 projections in OM.</w:t>
      </w:r>
    </w:p>
    <w:p>
      <w:pPr>
        <w:pStyle w:val="BodyText"/>
        <w:rPr/>
      </w:pPr>
      <w:r>
        <w:rPr/>
        <w:t xml:space="preserve">Stickler said (at page 128 of real time transcript) "Having not any real presence at the drafting sessions that were going on in New York …" </w:t>
      </w:r>
    </w:p>
    <w:p>
      <w:pPr>
        <w:pStyle w:val="BodyText"/>
        <w:rPr/>
      </w:pPr>
      <w:r>
        <w:rPr/>
        <w:t>Hatch shows various cost-to-complete calculations, both final in the OM and several before, reflect numbers that are moving around wildly right up to the end.  (Exs 837,836)  At one point the number for the hot mill goes from $52 million to $41m (or vv.) in less than a day.</w:t>
      </w:r>
    </w:p>
    <w:p>
      <w:pPr>
        <w:pStyle w:val="BodyText"/>
        <w:rPr/>
      </w:pPr>
      <w:r>
        <w:rPr/>
        <w:t>Ex 523 seems to show NSM paying off a large indebtedness to NTS (related party) pre-closing when NSM was strapped for cash.  Stickler says that NSM got valuable consideration in return, e.g., water.  See OM.</w:t>
      </w:r>
    </w:p>
    <w:p>
      <w:pPr>
        <w:pStyle w:val="BodyText"/>
        <w:rPr/>
      </w:pPr>
      <w:r>
        <w:rPr/>
        <w:t>Ex 840 suggest that "NSM Working Group" does not include Enron.</w:t>
      </w:r>
    </w:p>
    <w:p>
      <w:pPr>
        <w:pStyle w:val="BodyText"/>
        <w:rPr/>
      </w:pPr>
      <w:r>
        <w:rPr/>
        <w:t>Stickler:  there were occasional conference calls among deal participants, but not many.  Ex 844 memorializes a conf call that Enron was supposed to be in, but Enron never came on the line.</w:t>
      </w:r>
    </w:p>
    <w:p>
      <w:pPr>
        <w:pStyle w:val="BodyText"/>
        <w:rPr/>
      </w:pPr>
      <w:r>
        <w:rPr/>
        <w:t>Ex 845 shows that NSM knew that Thai banks would get $50m in principal and $14.4m accrued interest (not $8m as OM says) at closing.</w:t>
      </w:r>
    </w:p>
    <w:p>
      <w:pPr>
        <w:pStyle w:val="BodyText"/>
        <w:rPr/>
      </w:pPr>
      <w:r>
        <w:rPr/>
        <w:t xml:space="preserve">Closing went to the end of the business day in NY (about 5:00pm) on 3/12 and into the early morning (5:00am) on 3/13 in Thailand.  Thai banks did not want to sign first.  Thai banks insisted on more accrued interest than NSM was expecting ($18m v $14.4m, I think.)  Supplement corrected this </w:t>
      </w:r>
    </w:p>
    <w:p>
      <w:pPr>
        <w:pStyle w:val="BodyText"/>
        <w:rPr/>
      </w:pPr>
      <w:r>
        <w:rPr/>
      </w:r>
    </w:p>
    <w:p>
      <w:pPr>
        <w:pStyle w:val="BodyText"/>
        <w:ind w:hanging="0" w:end="0"/>
        <w:jc w:val="center"/>
        <w:rPr>
          <w:u w:val="single"/>
        </w:rPr>
      </w:pPr>
      <w:r>
        <w:rPr>
          <w:u w:val="single"/>
        </w:rPr>
        <w:t>Sixth Day</w:t>
      </w:r>
    </w:p>
    <w:p>
      <w:pPr>
        <w:pStyle w:val="BodyText"/>
        <w:rPr/>
      </w:pPr>
      <w:r>
        <w:rPr/>
        <w:t>Unlike Schultes, who just kept getting stronger each day as the lawyers faded, Stickler is getting weaker each day; and Hatch is relentless.  Tomaino finally cut today short, even though there had been much controversy about going through the weekend, because of the Jewish holiday.</w:t>
      </w:r>
    </w:p>
    <w:p>
      <w:pPr>
        <w:pStyle w:val="BodyText"/>
        <w:rPr/>
      </w:pPr>
      <w:r>
        <w:rPr/>
        <w:t>I had a very nice moment at the beginning of the day, when Hatch called me into a private conference and discussed a deposition subject that he wanted to get into and wanted to talk about how he could do it without hurting Enron.  He joked that he didn't quite know why he should look out for Enron but proceeded to discuss with me nonetheless how to do try to avoid hurting Enron.  The actual point was not super important.  I was more interested in Hatch's attitude.</w:t>
      </w:r>
    </w:p>
    <w:p>
      <w:pPr>
        <w:pStyle w:val="BodyText"/>
        <w:rPr/>
      </w:pPr>
      <w:r>
        <w:rPr/>
        <w:t>Hatch spent a lot of time showing that the basic structure of the deal was still moving around in major ways near the end.  It looks like the A and B Tranches did not get created until early February.  B Tranche had worse collateral position but higher interest rate and warrants.  A $100 million bank financing shows up in structure at this point but later drops out, with BNP working capital facility increased (more fees for BNP and McD.)  NatWest keeps trying to find a package that will raise all of the money needed.  Compare exhibits 214 and 851 for changes in the sources of funds [actual total being raised is going down if you watch the footnotes.]</w:t>
      </w:r>
    </w:p>
    <w:p>
      <w:pPr>
        <w:pStyle w:val="BodyText"/>
        <w:rPr/>
      </w:pPr>
      <w:r>
        <w:rPr/>
        <w:t>[We need to find the purchase agreement—called the Enron Purchase Agreement, I think—by which Enron acquired about 24,000,000 shares of NSM from existing owners—who were they?  Milbank has never seen this document, and it has never bee produced.  This is a priority!]</w:t>
      </w:r>
    </w:p>
    <w:p>
      <w:pPr>
        <w:pStyle w:val="BodyText"/>
        <w:rPr/>
      </w:pPr>
      <w:r>
        <w:rPr/>
        <w:t>Stickler represented to KFW (coming into the deal at one point fairly late) that the results of the first heat at NSM was steel of "superior quality."  Hatch pushes Stickler around on this.  KFW was in and out.  See exs. 854,855.</w:t>
      </w:r>
    </w:p>
    <w:p>
      <w:pPr>
        <w:pStyle w:val="BodyText"/>
        <w:rPr/>
      </w:pPr>
      <w:r>
        <w:rPr/>
        <w:t>Stickler and NatWest feuding near end, because Hancock and Board of Wisconsin need a few days for formal approvals.  NatWest wants to go ahead without them.  NatWest claims it has enough buyers.  Stickler wants to close "with a whole in the book" and sell Hancock and Wisconsin their securities later (which means Nat West or someone else would have to take a risk, although Hancock and Wiusconsin said they would still pay the offer price no matter what.)  Part of solution was to put Hancock and Wisconsin in Tranche C with Enron (there would be very little trading of these bonds).  NatWest insisted, however, that they would close only with a "matched book"—absolutely no market risk.  This is consistent with Enron's position that it took no market risk.  Eventually the closing was pushed back enough for Hancock and Wisconsin approvals anyway.</w:t>
      </w:r>
    </w:p>
    <w:p>
      <w:pPr>
        <w:pStyle w:val="BodyText"/>
        <w:rPr/>
      </w:pPr>
      <w:r>
        <w:rPr/>
        <w:t>Tranche C was for investors who wanted equity.  Many did.  In Tranche C, if you wanted equity, you had to buy third tier bonds as well.  [Tranche C included Enron, Hancock, Wisconsin, and Soros.]</w:t>
      </w:r>
    </w:p>
    <w:p>
      <w:pPr>
        <w:pStyle w:val="BodyText"/>
        <w:rPr/>
      </w:pPr>
      <w:r>
        <w:rPr/>
        <w:t>Other equity was in the private placement—really just Enron, SDI (for no cash), and McD.  I think that McD agreed to sell, and did, its portion of this equity to Hancock.  Enron had to buy a lot of its "private placement" shares in secondary market, because NSM was up against a limit on how many new shares it could issue without triggering some tender offer regulations.</w:t>
      </w:r>
    </w:p>
    <w:p>
      <w:pPr>
        <w:pStyle w:val="BodyText"/>
        <w:rPr/>
      </w:pPr>
      <w:r>
        <w:rPr/>
        <w:t>Exhibit 857 is very helpful in laying out the deal.</w:t>
      </w:r>
    </w:p>
    <w:p>
      <w:pPr>
        <w:pStyle w:val="BodyText"/>
        <w:rPr/>
      </w:pPr>
      <w:r>
        <w:rPr/>
        <w:t>Stickler attended road shows on only one day—2/9/98:  first a road show at J.H.Whitney (Stickler there), second a sales meeting at NatWest (Stickler not there), third a dinner meeting (where?)(Stickler there)—THIS IS THE ROAD SHOW THAT GOT RECORDED.</w:t>
      </w:r>
    </w:p>
    <w:p>
      <w:pPr>
        <w:pStyle w:val="BodyText"/>
        <w:rPr/>
      </w:pPr>
      <w:r>
        <w:rPr/>
        <w:t>Ex 858 – GNW tells Khun Sawasdi that GNW has raised $450m and is ready to close on 3/12.</w:t>
      </w:r>
    </w:p>
    <w:p>
      <w:pPr>
        <w:pStyle w:val="BodyText"/>
        <w:rPr/>
      </w:pPr>
      <w:r>
        <w:rPr/>
        <w:t>Stickler claims not to have known that after the closing the Thai banks refused to issue the LCs required to access the WC line, says he was told that NSM's customers wanted to pay cash to avoid paying LC fee.  (I wonder if Stickler misheard—he must have known this.)   Ex 859 says that no WC funds have been made available as of 7/98.  NSM could use only $50m of the bond proceeds in the offshore account for WC.</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Files\depsum9.28-30.doc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D:\Local Files\depsum9.28-30.doc</w:t>
    </w:r>
    <w:r>
      <w:rPr/>
      <w:t xml:space="preserve"> </w:t>
    </w:r>
  </w:p>
  <w:p>
    <w:pPr>
      <w:pStyle w:val="Footer"/>
      <w:spacing w:lineRule="exact" w:line="200"/>
      <w:rPr/>
    </w:pPr>
    <w:r>
      <w:rPr>
        <w:rStyle w:val="zzmpTrailerItem"/>
      </w:rPr>
      <w:t xml:space="preserve">DRAFT </w:t>
    </w:r>
    <w:r>
      <w:rPr>
        <w:rStyle w:val="zzmpTrailerItem"/>
      </w:rPr>
      <w:fldChar w:fldCharType="begin"/>
    </w:r>
    <w:r>
      <w:rPr>
        <w:rStyle w:val="zzmpTrailerItem"/>
      </w:rPr>
      <w:instrText xml:space="preserve"> DATE \@"MM\/d\/yy\ H:mm\ AM/PM" </w:instrText>
    </w:r>
    <w:r>
      <w:rPr>
        <w:rStyle w:val="zzmpTrailerItem"/>
      </w:rPr>
      <w:fldChar w:fldCharType="separate"/>
    </w:r>
    <w:r>
      <w:rPr>
        <w:rStyle w:val="zzmpTrailerItem"/>
      </w:rPr>
      <w:t>09/28/25 9:29 AM</w:t>
    </w:r>
    <w:r>
      <w:rPr>
        <w:rStyle w:val="zzmpTrailerItem"/>
      </w:rPr>
      <w:fldChar w:fldCharType="end"/>
    </w:r>
    <w:r>
      <w:rPr/>
      <w:t xml:space="preserve"> </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abstractNum w:abstractNumId="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sz w:val="24"/>
        <w:i w:val="false"/>
        <w:shadow w:val="false"/>
        <w:u w:val="single"/>
        <w:b w:val="false"/>
        <w:vanish w:val="false"/>
        <w:rFonts w:ascii="Times New Roman" w:hAnsi="Times New Roman" w:cs="Times New Roman"/>
        <w:color w:val="auto"/>
      </w:rPr>
    </w:lvl>
    <w:lvl w:ilvl="1">
      <w:start w:val="1"/>
      <w:numFmt w:val="none"/>
      <w:suff w:val="nothing"/>
      <w:lvlText w:val="Section 1.1"/>
      <w:lvlJc w:val="start"/>
      <w:pPr>
        <w:tabs>
          <w:tab w:val="num" w:pos="252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none"/>
      <w:suff w:val="nothing"/>
      <w:lvlText w:val="(a)"/>
      <w:lvlJc w:val="start"/>
      <w:pPr>
        <w:tabs>
          <w:tab w:val="num" w:pos="1800"/>
        </w:tabs>
        <w:ind w:start="72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decimal"/>
      <w:lvlText w:val="SECTION %1."/>
      <w:lvlJc w:val="start"/>
      <w:pPr>
        <w:tabs>
          <w:tab w:val="num" w:pos="2880"/>
        </w:tabs>
        <w:ind w:start="0" w:firstLine="1440"/>
      </w:pPr>
      <w:rPr>
        <w:caps/>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1">
      <w:start w:val="1"/>
      <w:isLgl/>
      <w:numFmt w:val="decimalZero"/>
      <w:lvlText w:val="%1.%2"/>
      <w:lvlJc w:val="start"/>
      <w:pPr>
        <w:tabs>
          <w:tab w:val="num" w:pos="1800"/>
        </w:tabs>
        <w:ind w:start="0" w:firstLine="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Letter"/>
      <w:lvlText w:val="(%3)"/>
      <w:lvlJc w:val="start"/>
      <w:pPr>
        <w:tabs>
          <w:tab w:val="num" w:pos="1800"/>
        </w:tabs>
        <w:ind w:start="0" w:firstLine="144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lowerRoman"/>
      <w:lvlText w:val="(%4)"/>
      <w:lvlJc w:val="start"/>
      <w:pPr>
        <w:tabs>
          <w:tab w:val="num" w:pos="2520"/>
        </w:tabs>
        <w:ind w:start="720" w:firstLine="720"/>
      </w:pPr>
      <w:rPr>
        <w:smallCaps w:val="false"/>
        <w:caps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5">
      <w:start w:val="1"/>
      <w:numFmt w:val="none"/>
      <w:suff w:val="nothing"/>
      <w:lvlText w:val=""/>
      <w:lvlJc w:val="start"/>
      <w:pPr>
        <w:tabs>
          <w:tab w:val="num" w:pos="2736"/>
        </w:tabs>
        <w:ind w:start="2736" w:hanging="936"/>
      </w:pPr>
    </w:lvl>
    <w:lvl w:ilvl="6">
      <w:start w:val="1"/>
      <w:numFmt w:val="none"/>
      <w:suff w:val="nothing"/>
      <w:lvlText w:val=""/>
      <w:lvlJc w:val="start"/>
      <w:pPr>
        <w:tabs>
          <w:tab w:val="num" w:pos="3240"/>
        </w:tabs>
        <w:ind w:start="3240" w:hanging="1080"/>
      </w:pPr>
    </w:lvl>
    <w:lvl w:ilvl="7">
      <w:start w:val="1"/>
      <w:numFmt w:val="none"/>
      <w:suff w:val="nothing"/>
      <w:lvlText w:val=""/>
      <w:lvlJc w:val="start"/>
      <w:pPr>
        <w:tabs>
          <w:tab w:val="num" w:pos="3744"/>
        </w:tabs>
        <w:ind w:start="3744" w:hanging="1224"/>
      </w:pPr>
    </w:lvl>
    <w:lvl w:ilvl="8">
      <w:start w:val="1"/>
      <w:numFmt w:val="none"/>
      <w:suff w:val="nothing"/>
      <w:lvlText w:val=""/>
      <w:lvlJc w:val="start"/>
      <w:pPr>
        <w:tabs>
          <w:tab w:val="num" w:pos="43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D:\Local Files\depsum9.28-30.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WW8Num2z0">
    <w:name w:val="WW8Num2z0"/>
    <w:qFormat/>
    <w:rPr>
      <w:rFonts w:ascii="Times New Roman" w:hAnsi="Times New Roman" w:cs="Times New Roman"/>
      <w:b w:val="false"/>
      <w:i w:val="false"/>
      <w:caps/>
      <w:strike w:val="false"/>
      <w:dstrike w:val="false"/>
      <w:outline w:val="false"/>
      <w:shadow w:val="false"/>
      <w:vanish w:val="false"/>
      <w:color w:val="auto"/>
      <w:position w:val="0"/>
      <w:sz w:val="24"/>
      <w:sz w:val="24"/>
      <w:u w:val="singl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0">
    <w:name w:val="WW8Num3z0"/>
    <w:qFormat/>
    <w:rPr>
      <w:rFonts w:ascii="Times New Roman" w:hAnsi="Times New Roman" w:cs="Times New Roman"/>
      <w:b w:val="false"/>
      <w:i w:val="false"/>
      <w:caps/>
      <w:strike w:val="false"/>
      <w:dstrike w:val="false"/>
      <w:outline w:val="false"/>
      <w:shadow w:val="false"/>
      <w:vanish w:val="false"/>
      <w:color w:val="auto"/>
      <w:position w:val="0"/>
      <w:sz w:val="24"/>
      <w:sz w:val="24"/>
      <w:u w:val="none"/>
      <w:vertAlign w:val="baseli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strike w:val="false"/>
      <w:dstrike w:val="false"/>
      <w:shadow w:val="false"/>
      <w:vanish w:val="false"/>
      <w:color w:val="auto"/>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paragraph" w:styleId="1stline">
    <w:name w:val="1stline"/>
    <w:basedOn w:val="Normal"/>
    <w:qFormat/>
    <w:pPr>
      <w:suppressAutoHyphens w:val="true"/>
      <w:ind w:firstLine="1440" w:start="0" w:end="0"/>
    </w:pPr>
    <w:rPr>
      <w:lang w:eastAsia="en-US"/>
    </w:rPr>
  </w:style>
  <w:style w:type="paragraph" w:styleId="IPL1">
    <w:name w:val="IP_L1"/>
    <w:basedOn w:val="Normal"/>
    <w:next w:val="Normal"/>
    <w:qFormat/>
    <w:pPr>
      <w:keepNext w:val="true"/>
      <w:numPr>
        <w:ilvl w:val="0"/>
        <w:numId w:val="2"/>
      </w:numPr>
      <w:spacing w:before="240" w:after="240"/>
      <w:outlineLvl w:val="0"/>
    </w:pPr>
    <w:rPr>
      <w:caps/>
    </w:rPr>
  </w:style>
  <w:style w:type="paragraph" w:styleId="IPL2">
    <w:name w:val="IP_L2"/>
    <w:basedOn w:val="Normal"/>
    <w:next w:val="Normal"/>
    <w:qFormat/>
    <w:pPr>
      <w:numPr>
        <w:ilvl w:val="0"/>
        <w:numId w:val="2"/>
      </w:numPr>
      <w:spacing w:before="0" w:after="240"/>
      <w:outlineLvl w:val="1"/>
    </w:pPr>
    <w:rPr/>
  </w:style>
  <w:style w:type="paragraph" w:styleId="MAMergerL1">
    <w:name w:val="MAMerger_L1"/>
    <w:basedOn w:val="Normal"/>
    <w:next w:val="Normal"/>
    <w:qFormat/>
    <w:pPr>
      <w:keepNext w:val="true"/>
      <w:numPr>
        <w:ilvl w:val="0"/>
        <w:numId w:val="3"/>
      </w:numPr>
      <w:spacing w:before="240" w:after="240"/>
      <w:outlineLvl w:val="0"/>
    </w:pPr>
    <w:rPr>
      <w:cap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2000-09-29T19:49:00Z</dcterms:created>
  <dc:creator>SHoward</dc:creator>
  <dc:description/>
  <dc:language>en-CA</dc:language>
  <cp:lastModifiedBy>SHoward</cp:lastModifiedBy>
  <dcterms:modified xsi:type="dcterms:W3CDTF">2000-09-30T22:31:00Z</dcterms:modified>
  <cp:revision>12</cp:revision>
  <dc:subject/>
  <dc:title>Word 8.0 Generic Normal Template, rev. 4/1/97, The Legal MacPac</dc:title>
</cp:coreProperties>
</file>