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 Stickler Witness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September 26,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Stickler's Second Day of Deposition - 9/25/00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t>David Stickler's first day of deposition went again today from 9:00 a.m. to 5:30 p.m., with only minimal breaks, at the office of Sullivan &amp; Cromwell.  Again Stickler wanted to keep going at 5:30, but the reporter politely refused.  Today's testimony was more germane to the case.  Again today, Stickler was incapable of giving a short straightforward answer to the question.  The questioner all day was again Tom Hatch of Robins, Kaplan.</w:t>
      </w:r>
    </w:p>
    <w:p>
      <w:pPr>
        <w:pStyle w:val="BodyText"/>
        <w:rPr/>
      </w:pPr>
      <w:r>
        <w:rPr/>
        <w:t>Stickler's theme, even more blatant today, was that he played a limited role, and lots of other people had very significant roles.  He was not very persuasive.  At one point Hatch accused him of saying that everyone but him (Stickler) was involved in all of the decisions.  The plaintiffs are clearly disgusted with Sticker and do not believe him (even Bruce McLeod and Ralph Hirschmann, who in some ways are being helped by Stickler's claims of heavy involvement by Enron.)  Bruce says that Stickler may get him past a motion for summary judgment by Enron, but he acknowledges that he can't rely on Stickler at trial, where McLeod will have to call Stickler a liar.</w:t>
      </w:r>
    </w:p>
    <w:p>
      <w:pPr>
        <w:pStyle w:val="BodyText"/>
        <w:rPr/>
      </w:pPr>
      <w:r>
        <w:rPr/>
        <w:t>Stickler says he attended only two road shows, and he managed to claim that Enron was at one of them (in Stamford)</w:t>
      </w:r>
    </w:p>
    <w:p>
      <w:pPr>
        <w:pStyle w:val="BodyText"/>
        <w:rPr/>
      </w:pPr>
      <w:r>
        <w:rPr/>
        <w:t>Stickler implied that the Purchase Agreement (between NSM and the four Initial Purchasers), although dated 3/2/98, was not finalized and signed until after 3/2/98.</w:t>
      </w:r>
    </w:p>
    <w:p>
      <w:pPr>
        <w:pStyle w:val="BodyText"/>
        <w:rPr/>
      </w:pPr>
      <w:r>
        <w:rPr/>
        <w:t>Again Stickler went out of his way today to implicate Enron in many stages of the project, even when the question did not call for that response.  For example, when asked questions about related party transactions, Stickler claimed to have little involvement in that analysis, claiming that it was done by White &amp; Case (Sticker's favorite whipping boy, even more than Enron), Peat Marwick, E&amp;Y, Gary Heasely, NatWest, and Enron—no mention of PaineWeber, also typical.</w:t>
      </w:r>
    </w:p>
    <w:p>
      <w:pPr>
        <w:pStyle w:val="BodyText"/>
        <w:rPr/>
      </w:pPr>
      <w:r>
        <w:rPr/>
        <w:t>Stickler attributes all decisions whether to disclose anything to White &amp; Case.</w:t>
      </w:r>
    </w:p>
    <w:p>
      <w:pPr>
        <w:pStyle w:val="BodyText"/>
        <w:rPr/>
      </w:pPr>
      <w:r>
        <w:rPr/>
        <w:t>The offering memo states that outstanding payables for construction already performed were $102 million (p. 38, n. 5.)  Stickler says that Enron was one of the people who did a "detailed review" of the items supporting this number.</w:t>
      </w:r>
    </w:p>
    <w:p>
      <w:pPr>
        <w:pStyle w:val="BodyText"/>
        <w:rPr/>
      </w:pPr>
      <w:r>
        <w:rPr/>
        <w:t xml:space="preserve">Stickler claims that, contrary to Busse, the $14.4 million to be repaid to the Thai banks </w:t>
      </w:r>
      <w:r>
        <w:rPr>
          <w:u w:val="single"/>
        </w:rPr>
        <w:t>was</w:t>
      </w:r>
      <w:r>
        <w:rPr/>
        <w:t xml:space="preserve"> included in the overall $276.8 million cost to complete (which also included the $102 million discussed above.)  Stickler admits that he knew that these payments had to be made and should be included in the uses of funds disclosure.</w:t>
      </w:r>
    </w:p>
    <w:p>
      <w:pPr>
        <w:pStyle w:val="BodyText"/>
        <w:rPr/>
      </w:pPr>
      <w:r>
        <w:rPr/>
        <w:t xml:space="preserve">Stickler claimed that Enron was in attendance at a meeting on 7.17.97 in Thailand with the Thai banks.  The minutes of the meeting, Ex. 505, shows that Enron was </w:t>
      </w:r>
      <w:r>
        <w:rPr>
          <w:u w:val="single"/>
        </w:rPr>
        <w:t>not</w:t>
      </w:r>
      <w:r>
        <w:rPr/>
        <w:t xml:space="preserve"> in attendance.</w:t>
      </w:r>
    </w:p>
    <w:p>
      <w:pPr>
        <w:pStyle w:val="BodyText"/>
        <w:rPr/>
      </w:pPr>
      <w:r>
        <w:rPr/>
        <w:t xml:space="preserve">On the semi-bright side, Sticker from time to time refers to Enron as an "investor." </w:t>
      </w:r>
    </w:p>
    <w:p>
      <w:pPr>
        <w:pStyle w:val="BodyText"/>
        <w:rPr/>
      </w:pPr>
      <w:r>
        <w:rPr/>
        <w:t>Stickler is not particularly hard on John Schultes.  When asked if Schultes ever misrepresented anything to him, Stickler answered a flat no.  (Probably his only straightforward answer all day.)</w:t>
      </w:r>
    </w:p>
    <w:p>
      <w:pPr>
        <w:pStyle w:val="BodyText"/>
        <w:rPr/>
      </w:pPr>
      <w:r>
        <w:rPr/>
        <w:t>Hatch spent a lot of time on the fees in the transaction, and he had culled and assembled the documents very effectively on this subject.  See especially Exs. 666 and 771.  A lot of the questions were about payments to companies affiliated with Kuhn Sawasdi, and that testimony, and those exhibits, should be studied in detail.  $1 million of the about $6 million of payments to Sawasdi's affiliates was in effect paid by McDonald; McDonald lowered its fee by $1 million, so that NSM would have $1 million to pay Sawasdi's affiliate.  This agreement is documented (I think with Ex. 666.)  The disclosed fees to be paid by NSM out of the closing (</w:t>
      </w:r>
      <w:r>
        <w:rPr>
          <w:u w:val="single"/>
        </w:rPr>
        <w:t>exclusive of the $15 million underwriting fee</w:t>
      </w:r>
      <w:r>
        <w:rPr/>
        <w:t>) were $29 million, whereas Exhibit 771 shows that they were $35 million.  The difference appears to be the payments to Sawasdi affiliates.</w:t>
      </w:r>
    </w:p>
    <w:p>
      <w:pPr>
        <w:pStyle w:val="BodyText"/>
        <w:rPr/>
      </w:pPr>
      <w:r>
        <w:rPr/>
        <w:t>Of immediate importance to us, the documents appear to show that Enron received two fees,:</w:t>
      </w:r>
    </w:p>
    <w:p>
      <w:pPr>
        <w:pStyle w:val="BodyText"/>
        <w:numPr>
          <w:ilvl w:val="0"/>
          <w:numId w:val="3"/>
        </w:numPr>
        <w:rPr/>
      </w:pPr>
      <w:r>
        <w:rPr/>
        <w:t>a fee for $725,000 paid directly by NSM out of the $35 million in offering proceeds allocated to fees (only $29 million in the offering memo, but who's counting) and described in whole or in part in an Enron document within Ex 666 produced by McDonald as "a fee for services rendered" by Enron Capital &amp; Trade Resources Corp. as a new equity investor (signature appears to be "Tony A. Valentine," vice president.)  Enron's amended DASH says that there will be a $125,000 contingent equity fee and a $600,000 transaction sponsorship fee (in addition to an underwriting fee of $1 million); and</w:t>
      </w:r>
    </w:p>
    <w:p>
      <w:pPr>
        <w:pStyle w:val="BodyText"/>
        <w:ind w:hanging="0" w:start="1440" w:end="0"/>
        <w:rPr/>
      </w:pPr>
      <w:r>
        <w:rPr/>
      </w:r>
    </w:p>
    <w:p>
      <w:pPr>
        <w:pStyle w:val="BodyText"/>
        <w:numPr>
          <w:ilvl w:val="0"/>
          <w:numId w:val="3"/>
        </w:numPr>
        <w:rPr/>
      </w:pPr>
      <w:r>
        <w:rPr/>
        <w:t>a fee of $1 million paid to Enron by NatWest as Enron's share of the $15 million disclosed underwriting fee which was paid by NSM in full to NatWest, who was responsible for distributing the appropriate portions of the fee to McDonald, PaineWeber, and Enron.</w:t>
      </w:r>
    </w:p>
    <w:p>
      <w:pPr>
        <w:pStyle w:val="BodyText"/>
        <w:rPr/>
      </w:pPr>
      <w:r>
        <w:rPr/>
        <w:t>Contrary to what Brian has been saying, Enron's records seem to show that Enron received two fees totaling $1,725,000 and that Enron did in fact receive the full $1 million underwriting fee, not something less because of fees being deducted.  NSM separately paid Akin, Gum's legal fees of $50,000 (Edx. 666), and I think NSM paid Cravath also, but I am not sure.  We still do not have all of the records to be sure about this subject.</w:t>
      </w:r>
    </w:p>
    <w:p>
      <w:pPr>
        <w:pStyle w:val="BodyText"/>
        <w:rPr/>
      </w:pPr>
      <w:r>
        <w:rPr/>
        <w:t>Although the transaction funded on 3/12/98, NatWest held up the funds (except for dispersal of fees) because not all of the documents were yet finally negotiated and signed..</w:t>
      </w:r>
    </w:p>
    <w:p>
      <w:pPr>
        <w:pStyle w:val="BodyText"/>
        <w:rPr/>
      </w:pPr>
      <w:r>
        <w:rPr/>
        <w:t>The employment agreements for Schultes, Sawasdi, and Chomnie were discussed in some detail.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Files\depsum2.doc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Files\depsum2.doc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D:\Local Files\depsum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style>
  <w:style w:type="character" w:styleId="WW8Num4z0">
    <w:name w:val="WW8Num4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2">
    <w:name w:val="WW8Num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4"/>
      </w:numPr>
      <w:spacing w:before="240" w:after="240"/>
      <w:outlineLvl w:val="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2000-09-27T01:23:00Z</dcterms:created>
  <dc:creator>SHoward</dc:creator>
  <dc:description/>
  <dc:language>en-CA</dc:language>
  <cp:lastModifiedBy>SHoward</cp:lastModifiedBy>
  <dcterms:modified xsi:type="dcterms:W3CDTF">2000-09-27T02:48:00Z</dcterms:modified>
  <cp:revision>11</cp:revision>
  <dc:subject/>
  <dc:title>Word 8.0 Generic Normal Template, rev. 4/1/97, The Legal MacPac</dc:title>
</cp:coreProperties>
</file>