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360"/>
        <w:jc w:val="center"/>
        <w:rPr>
          <w:b/>
          <w:smallCaps/>
        </w:rPr>
      </w:pPr>
      <w:r>
        <w:rPr>
          <w:b/>
          <w:smallCaps/>
        </w:rPr>
      </w:r>
    </w:p>
    <w:p>
      <w:pPr>
        <w:pStyle w:val="Normal"/>
        <w:spacing w:before="0" w:after="360"/>
        <w:jc w:val="center"/>
        <w:rPr>
          <w:b/>
          <w:smallCaps/>
        </w:rPr>
      </w:pPr>
      <w:r>
        <w:rPr>
          <w:b/>
          <w:smallCaps/>
        </w:rPr>
        <w:t>Memorandum</w:t>
      </w:r>
    </w:p>
    <w:p>
      <w:pPr>
        <w:pStyle w:val="DeliveryPhrase"/>
        <w:rPr/>
      </w:pPr>
      <w:r>
        <w:rPr/>
        <w:t>Attorney Work Product</w:t>
      </w:r>
    </w:p>
    <w:tbl>
      <w:tblPr>
        <w:tblW w:w="9576" w:type="dxa"/>
        <w:jc w:val="start"/>
        <w:tblInd w:w="0" w:type="dxa"/>
        <w:tblLayout w:type="fixed"/>
        <w:tblCellMar>
          <w:top w:w="0" w:type="dxa"/>
          <w:start w:w="0" w:type="dxa"/>
          <w:bottom w:w="0" w:type="dxa"/>
          <w:end w:w="0" w:type="dxa"/>
        </w:tblCellMar>
      </w:tblPr>
      <w:tblGrid>
        <w:gridCol w:w="1440"/>
        <w:gridCol w:w="3870"/>
        <w:gridCol w:w="1170"/>
        <w:gridCol w:w="3096"/>
      </w:tblGrid>
      <w:tr>
        <w:trPr/>
        <w:tc>
          <w:tcPr>
            <w:tcW w:w="1440" w:type="dxa"/>
            <w:tcBorders/>
          </w:tcPr>
          <w:p>
            <w:pPr>
              <w:pStyle w:val="Normal"/>
              <w:snapToGrid w:val="false"/>
              <w:rPr/>
            </w:pPr>
            <w:r>
              <w:rPr/>
            </w:r>
          </w:p>
        </w:tc>
        <w:tc>
          <w:tcPr>
            <w:tcW w:w="3870" w:type="dxa"/>
            <w:tcBorders/>
          </w:tcPr>
          <w:p>
            <w:pPr>
              <w:pStyle w:val="Normal"/>
              <w:snapToGrid w:val="false"/>
              <w:spacing w:before="0" w:after="120"/>
              <w:ind w:end="432"/>
              <w:rPr/>
            </w:pPr>
            <w:r>
              <w:rPr/>
            </w:r>
          </w:p>
        </w:tc>
        <w:tc>
          <w:tcPr>
            <w:tcW w:w="1170" w:type="dxa"/>
            <w:tcBorders/>
          </w:tcPr>
          <w:p>
            <w:pPr>
              <w:pStyle w:val="Normal"/>
              <w:snapToGrid w:val="false"/>
              <w:rPr/>
            </w:pPr>
            <w:r>
              <w:rPr/>
            </w:r>
          </w:p>
        </w:tc>
        <w:tc>
          <w:tcPr>
            <w:tcW w:w="3096" w:type="dxa"/>
            <w:tcBorders/>
          </w:tcPr>
          <w:p>
            <w:pPr>
              <w:pStyle w:val="Normal"/>
              <w:spacing w:before="0" w:after="120"/>
              <w:ind w:end="216"/>
              <w:jc w:val="end"/>
              <w:rPr>
                <w:sz w:val="20"/>
              </w:rPr>
            </w:pPr>
            <w:r>
              <w:rPr>
                <w:sz w:val="20"/>
              </w:rPr>
              <w:t>FILE NO:  35509.00300</w:t>
            </w:r>
          </w:p>
        </w:tc>
      </w:tr>
      <w:tr>
        <w:trPr/>
        <w:tc>
          <w:tcPr>
            <w:tcW w:w="1440" w:type="dxa"/>
            <w:tcBorders/>
          </w:tcPr>
          <w:p>
            <w:pPr>
              <w:pStyle w:val="Normal"/>
              <w:spacing w:before="0" w:after="120"/>
              <w:rPr/>
            </w:pPr>
            <w:r>
              <w:rPr/>
              <w:t>TO:</w:t>
            </w:r>
          </w:p>
        </w:tc>
        <w:tc>
          <w:tcPr>
            <w:tcW w:w="3870" w:type="dxa"/>
            <w:tcBorders/>
          </w:tcPr>
          <w:p>
            <w:pPr>
              <w:pStyle w:val="Normal"/>
              <w:spacing w:before="0" w:after="120"/>
              <w:ind w:end="432"/>
              <w:rPr/>
            </w:pPr>
            <w:r>
              <w:rPr/>
              <w:t>Enron/NSM Litigation: Stickler Witness File</w:t>
            </w:r>
          </w:p>
        </w:tc>
        <w:tc>
          <w:tcPr>
            <w:tcW w:w="4266" w:type="dxa"/>
            <w:gridSpan w:val="2"/>
            <w:tcBorders/>
          </w:tcPr>
          <w:p>
            <w:pPr>
              <w:pStyle w:val="Normal"/>
              <w:spacing w:before="0" w:after="120"/>
              <w:ind w:end="216"/>
              <w:rPr/>
            </w:pPr>
            <w:r>
              <w:rPr/>
              <w:t xml:space="preserve">                     </w:t>
            </w:r>
            <w:r>
              <w:rPr>
                <w:b/>
              </w:rPr>
              <w:t>REVISED</w:t>
            </w:r>
          </w:p>
          <w:p>
            <w:pPr>
              <w:pStyle w:val="Normal"/>
              <w:spacing w:before="0" w:after="120"/>
              <w:ind w:end="216"/>
              <w:rPr>
                <w:b/>
              </w:rPr>
            </w:pPr>
            <w:r>
              <w:rPr>
                <w:b/>
              </w:rPr>
              <w:t xml:space="preserve">                      </w:t>
            </w:r>
            <w:r>
              <w:rPr>
                <w:b/>
              </w:rPr>
              <w:t>9/26/00</w:t>
            </w:r>
          </w:p>
        </w:tc>
      </w:tr>
      <w:tr>
        <w:trPr/>
        <w:tc>
          <w:tcPr>
            <w:tcW w:w="1440" w:type="dxa"/>
            <w:tcBorders/>
          </w:tcPr>
          <w:p>
            <w:pPr>
              <w:pStyle w:val="Normal"/>
              <w:spacing w:before="0" w:after="120"/>
              <w:rPr/>
            </w:pPr>
            <w:r>
              <w:rPr/>
              <w:t>CC:</w:t>
            </w:r>
          </w:p>
        </w:tc>
        <w:tc>
          <w:tcPr>
            <w:tcW w:w="3870" w:type="dxa"/>
            <w:tcBorders/>
          </w:tcPr>
          <w:p>
            <w:pPr>
              <w:pStyle w:val="Normal"/>
              <w:spacing w:before="0" w:after="120"/>
              <w:ind w:end="432"/>
              <w:rPr/>
            </w:pPr>
            <w:r>
              <w:rPr/>
              <w:t>Richard Sanders</w:t>
            </w:r>
          </w:p>
        </w:tc>
        <w:tc>
          <w:tcPr>
            <w:tcW w:w="4266" w:type="dxa"/>
            <w:gridSpan w:val="2"/>
            <w:tcBorders/>
          </w:tcPr>
          <w:p>
            <w:pPr>
              <w:pStyle w:val="Normal"/>
              <w:snapToGrid w:val="false"/>
              <w:spacing w:before="0" w:after="120"/>
              <w:ind w:end="216"/>
              <w:rPr/>
            </w:pPr>
            <w:r>
              <w:rPr/>
            </w:r>
          </w:p>
        </w:tc>
      </w:tr>
      <w:tr>
        <w:trPr/>
        <w:tc>
          <w:tcPr>
            <w:tcW w:w="1440" w:type="dxa"/>
            <w:tcBorders/>
          </w:tcPr>
          <w:p>
            <w:pPr>
              <w:pStyle w:val="Normal"/>
              <w:spacing w:before="0" w:after="120"/>
              <w:rPr/>
            </w:pPr>
            <w:r>
              <w:rPr/>
              <w:t>FROM:</w:t>
            </w:r>
          </w:p>
        </w:tc>
        <w:tc>
          <w:tcPr>
            <w:tcW w:w="3870" w:type="dxa"/>
            <w:tcBorders/>
          </w:tcPr>
          <w:p>
            <w:pPr>
              <w:pStyle w:val="Normal"/>
              <w:spacing w:before="0" w:after="120"/>
              <w:ind w:end="432"/>
              <w:rPr/>
            </w:pPr>
            <w:r>
              <w:rPr/>
              <w:t>Steve Howard</w:t>
            </w:r>
          </w:p>
        </w:tc>
        <w:tc>
          <w:tcPr>
            <w:tcW w:w="4266" w:type="dxa"/>
            <w:gridSpan w:val="2"/>
            <w:tcBorders/>
          </w:tcPr>
          <w:p>
            <w:pPr>
              <w:pStyle w:val="Normal"/>
              <w:snapToGrid w:val="false"/>
              <w:spacing w:before="0" w:after="120"/>
              <w:ind w:end="216"/>
              <w:rPr/>
            </w:pPr>
            <w:r>
              <w:rPr/>
            </w:r>
          </w:p>
        </w:tc>
      </w:tr>
      <w:tr>
        <w:trPr/>
        <w:tc>
          <w:tcPr>
            <w:tcW w:w="1440" w:type="dxa"/>
            <w:tcBorders/>
          </w:tcPr>
          <w:p>
            <w:pPr>
              <w:pStyle w:val="Normal"/>
              <w:rPr/>
            </w:pPr>
            <w:r>
              <w:rPr/>
              <w:t>DATE:</w:t>
            </w:r>
          </w:p>
        </w:tc>
        <w:tc>
          <w:tcPr>
            <w:tcW w:w="8136" w:type="dxa"/>
            <w:gridSpan w:val="3"/>
            <w:tcBorders/>
          </w:tcPr>
          <w:p>
            <w:pPr>
              <w:pStyle w:val="Normal"/>
              <w:spacing w:before="0" w:after="120"/>
              <w:ind w:end="216"/>
              <w:rPr>
                <w:lang w:val="en-CA"/>
              </w:rPr>
            </w:pPr>
            <w:r>
              <w:rPr>
                <w:lang w:val="en-CA"/>
              </w:rPr>
              <w:t>September 25, 2000</w:t>
            </w:r>
          </w:p>
        </w:tc>
      </w:tr>
      <w:tr>
        <w:trPr/>
        <w:tc>
          <w:tcPr>
            <w:tcW w:w="1440" w:type="dxa"/>
            <w:tcBorders/>
          </w:tcPr>
          <w:p>
            <w:pPr>
              <w:pStyle w:val="Normal"/>
              <w:spacing w:before="0" w:after="120"/>
              <w:rPr/>
            </w:pPr>
            <w:r>
              <w:rPr/>
              <w:t>RE:</w:t>
            </w:r>
          </w:p>
        </w:tc>
        <w:tc>
          <w:tcPr>
            <w:tcW w:w="8136" w:type="dxa"/>
            <w:gridSpan w:val="3"/>
            <w:tcBorders/>
          </w:tcPr>
          <w:p>
            <w:pPr>
              <w:pStyle w:val="Normal"/>
              <w:spacing w:before="0" w:after="120"/>
              <w:ind w:end="216"/>
              <w:rPr/>
            </w:pPr>
            <w:r>
              <w:rPr/>
              <w:t>Stickler's First Day of Deposition - 9/25/00</w:t>
            </w:r>
          </w:p>
        </w:tc>
      </w:tr>
      <w:tr>
        <w:trPr/>
        <w:tc>
          <w:tcPr>
            <w:tcW w:w="9576" w:type="dxa"/>
            <w:gridSpan w:val="4"/>
            <w:tcBorders>
              <w:top w:val="double" w:sz="4" w:space="0" w:color="000000"/>
            </w:tcBorders>
            <w:tcMar>
              <w:start w:w="108" w:type="dxa"/>
              <w:end w:w="108" w:type="dxa"/>
            </w:tcMar>
          </w:tcPr>
          <w:p>
            <w:pPr>
              <w:pStyle w:val="Normal"/>
              <w:snapToGrid w:val="false"/>
              <w:rPr/>
            </w:pPr>
            <w:r>
              <w:rPr/>
            </w:r>
          </w:p>
        </w:tc>
      </w:tr>
    </w:tbl>
    <w:p>
      <w:pPr>
        <w:pStyle w:val="BodyText"/>
        <w:spacing w:lineRule="auto" w:line="480"/>
        <w:ind w:firstLine="1440" w:end="0"/>
        <w:rPr/>
      </w:pPr>
      <w:r>
        <w:rPr/>
        <w:t xml:space="preserve">David Stickler's first day of deposition went forward today from 9:00 a.m. to 5:30 p.m., with only minimal breaks, at the office of Sullivan &amp; Cromwell.  Stickler wanted to keep going at 5:30, but the reporter was exhausted.  Despite the length of the deposition, the majority of the day was spent on quite peripheral subjects.  The questioner all day was Tom Hatch of Robins, Kaplan. </w:t>
      </w:r>
    </w:p>
    <w:p>
      <w:pPr>
        <w:pStyle w:val="BodyText"/>
        <w:spacing w:lineRule="auto" w:line="480"/>
        <w:ind w:firstLine="1440" w:end="0"/>
        <w:rPr/>
      </w:pPr>
      <w:r>
        <w:rPr/>
        <w:t>Stickler is about 38.  He wore a dark suit, white shirt, and tie.  He looked immaculate.  He was not defensive.  Quite to the contrary, he gave long, content-filled answers to many questions.  He was very assertive, often interrupting and arguing with Hatch.  I did not think he looked sleazy.</w:t>
      </w:r>
    </w:p>
    <w:p>
      <w:pPr>
        <w:pStyle w:val="BodyText"/>
        <w:spacing w:lineRule="auto" w:line="480"/>
        <w:ind w:firstLine="1440" w:end="0"/>
        <w:rPr/>
      </w:pPr>
      <w:r>
        <w:rPr/>
        <w:t>That said, Stickler appeared not to be bright or capable of clear thinking (which I found very surprising.)  He often "misheard" a term in the question and gave an answer that did not make sense.  He misused words in his own responses.  He was incapable of understanding the attorney-client privilege, continually disclosing communications with his/McDonald's attorneys, despite frequent instructions from Tomaino not to do so.  On only rare occasions did Stickler give a simple yes or no answer, despite suggestions from both opposing counsel and his own counsel that a simple yes or no would be best if he could do it.</w:t>
      </w:r>
    </w:p>
    <w:p>
      <w:pPr>
        <w:pStyle w:val="BodyText"/>
        <w:spacing w:lineRule="auto" w:line="480"/>
        <w:ind w:firstLine="1440" w:end="0"/>
        <w:rPr/>
      </w:pPr>
      <w:r>
        <w:rPr/>
        <w:t>Stickler went out of his way constantly to mention Enron as participating in various meetings and other activities relating to the NSM offering and the follow-on NSM Management Company.  (He mentioned Kevin McConville often.)  Hatch rarely asked a direct question about Enron, but Stickler nonetheless often talked about Enron in his answers.  (It is possible that Tomaino told him to do this, but I am not at all sure.)  Stickler also stressed the critical role of NatWest in the offering.  He rarely mentioned PaineWeber.</w:t>
      </w:r>
    </w:p>
    <w:p>
      <w:pPr>
        <w:pStyle w:val="BodyText"/>
        <w:spacing w:lineRule="auto" w:line="480"/>
        <w:ind w:firstLine="1440" w:end="0"/>
        <w:rPr/>
      </w:pPr>
      <w:r>
        <w:rPr/>
        <w:t xml:space="preserve">Stickler testified that the LLC Agreement of NSM Management Company was solely a formality.  Stickler did not in fact "manage" NSM Management Company.  As manager, all he did was sign checks and documents for NSM Management Company. The "units" shown in the text of, and exhibit A to, the LLC Agreement were entirely irrelevant (and also internally inconsistent.)  The Management Company in fact had four members each with equal votes:  David Stickler, Keith Busse, Kevin McConville, and John Schultes. Stickler was picked as manager only because, except for Schultes, he planned to be more often in Thailand than did the other two members.  In fact the NSM Management Company made decisions by consensus.  (On the decision whether to terminate Schultes' termination agreement, </w:t>
      </w:r>
      <w:r>
        <w:rPr>
          <w:u w:val="single"/>
        </w:rPr>
        <w:t>i.e.</w:t>
      </w:r>
      <w:r>
        <w:rPr/>
        <w:t>, stop paying him, there was a vote, and Enron abstained.)</w:t>
      </w:r>
    </w:p>
    <w:p>
      <w:pPr>
        <w:pStyle w:val="BodyText"/>
        <w:spacing w:lineRule="auto" w:line="480"/>
        <w:ind w:firstLine="1440" w:end="0"/>
        <w:rPr/>
      </w:pPr>
      <w:r>
        <w:rPr/>
        <w:t>Stickler says that the Management Company was formed because SDI did not want to be the sole manager under a management contract because SDI was very concerned that it not be perceived to be in control of NSM—for fear that it, for accounting purposes, SDI might have to consolidate (SDI's share of) NSM's losses into SDI's financial statements.</w:t>
      </w:r>
    </w:p>
    <w:p>
      <w:pPr>
        <w:pStyle w:val="BodyText"/>
        <w:spacing w:lineRule="auto" w:line="480"/>
        <w:ind w:firstLine="1440" w:end="0"/>
        <w:rPr/>
      </w:pPr>
      <w:r>
        <w:rPr/>
        <w:t>Tom Hatch told me on a break that, in preparing for the deposition, he could see that Enron really had invested, and lost, $25-30 million.  I presume now that we do not need to answer the Robins, Kaplan letter to Richard on that subject.  Hatch and Gordon were both quite friendly; I am beginning to think that we don't need to worry about a suit from them.</w:t>
      </w:r>
    </w:p>
    <w:p>
      <w:pPr>
        <w:pStyle w:val="BodyText"/>
        <w:spacing w:lineRule="auto" w:line="480"/>
        <w:ind w:firstLine="1440" w:end="0"/>
        <w:rPr/>
      </w:pPr>
      <w:r>
        <w:rPr/>
        <w:t>Stickler say that all disclosure decisions were made by the attorneys (White &amp; Case).</w:t>
      </w:r>
    </w:p>
    <w:p>
      <w:pPr>
        <w:pStyle w:val="BodyText"/>
        <w:spacing w:lineRule="auto" w:line="480"/>
        <w:ind w:firstLine="1440" w:end="0"/>
        <w:rPr/>
      </w:pPr>
      <w:r>
        <w:rPr/>
        <w:t>Total amount raised, on which McDonald's advisory fee was based, was about $641 million and included BNP line and SDI' sweat equity.  3% (per early FAS agreement between NSM and McDonald) times $641 million is $19.2 million.  (The other $2 million to get up to $21 million has to do with the Thai banks, Preusag, and others.)  McDonald also received a share of the overall $15 million underwriting fee that was paid in the first instance to NatWest (3% of $500 million = $15 million.)</w:t>
      </w:r>
    </w:p>
    <w:p>
      <w:pPr>
        <w:pStyle w:val="BodyText"/>
        <w:spacing w:lineRule="auto" w:line="480"/>
        <w:ind w:firstLine="1440" w:end="0"/>
        <w:rPr/>
      </w:pPr>
      <w:r>
        <w:rPr/>
        <w:t>Stickler claimed that the off-take agreements were based on firm obligations, not best efforts.  Hatch did not ask him to explain, will probably come back to it.</w:t>
      </w:r>
    </w:p>
    <w:p>
      <w:pPr>
        <w:pStyle w:val="BodyText"/>
        <w:spacing w:lineRule="auto" w:line="480"/>
        <w:ind w:firstLine="1440" w:end="0"/>
        <w:rPr/>
      </w:pPr>
      <w:r>
        <w:rPr/>
        <w:t>Stickler claims that he never saw, and does not understand, the fee schedule that Enron produced.  (Brian says that Stickler prepared and distributed it.)</w:t>
      </w:r>
    </w:p>
    <w:p>
      <w:pPr>
        <w:pStyle w:val="BodyText"/>
        <w:spacing w:lineRule="auto" w:line="480"/>
        <w:ind w:firstLine="1440" w:end="0"/>
        <w:rPr/>
      </w:pPr>
      <w:r>
        <w:rPr/>
        <w:t>Stickler's comp:  1997 - $2.5 million, 1998 - $6,5 million, 1999 - $2.5 million.  CAUTION:  This information has been designated confidential under the protective orders in the various cases.</w:t>
      </w:r>
    </w:p>
    <w:p>
      <w:pPr>
        <w:pStyle w:val="BodyText"/>
        <w:spacing w:lineRule="auto" w:line="480"/>
        <w:ind w:firstLine="1440" w:end="0"/>
        <w:rPr/>
      </w:pPr>
      <w:r>
        <w:rPr/>
        <w:t>A partnership involving Stickler invested about $950,000 in NSM (stock, I think).  Stickler was incomprehensible when asked how much of this was his own money.  I think the other partners lent Stickler his piece and Stickler may still have to put some money in.</w:t>
      </w:r>
    </w:p>
    <w:p>
      <w:pPr>
        <w:pStyle w:val="BodyText"/>
        <w:spacing w:lineRule="auto" w:line="480" w:before="0" w:after="240"/>
        <w:ind w:firstLine="1440" w:end="0"/>
        <w:rPr/>
      </w:pPr>
      <w:r>
        <w:rPr/>
        <w:t>Stickler says that McDonald, NatWest, Enron, and NSM all had data rooms that investors could and did visit.</w:t>
      </w:r>
    </w:p>
    <w:sectPr>
      <w:headerReference w:type="default" r:id="rId2"/>
      <w:headerReference w:type="first" r:id="rId3"/>
      <w:footerReference w:type="default" r:id="rId4"/>
      <w:footerReference w:type="first" r:id="rId5"/>
      <w:type w:val="nextPage"/>
      <w:pgSz w:w="12240" w:h="15840"/>
      <w:pgMar w:left="1440" w:right="1440" w:gutter="0" w:header="720" w:top="1152"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58" w:type="dxa"/>
      <w:jc w:val="start"/>
      <w:tblInd w:w="0" w:type="dxa"/>
      <w:tblLayout w:type="fixed"/>
      <w:tblCellMar>
        <w:top w:w="0" w:type="dxa"/>
        <w:start w:w="108" w:type="dxa"/>
        <w:bottom w:w="0" w:type="dxa"/>
        <w:end w:w="108" w:type="dxa"/>
      </w:tblCellMar>
    </w:tblPr>
    <w:tblGrid>
      <w:gridCol w:w="3888"/>
      <w:gridCol w:w="1080"/>
      <w:gridCol w:w="4590"/>
    </w:tblGrid>
    <w:tr>
      <w:trPr/>
      <w:tc>
        <w:tcPr>
          <w:tcW w:w="3888" w:type="dxa"/>
          <w:tcBorders/>
        </w:tcPr>
        <w:p>
          <w:pPr>
            <w:pStyle w:val="Footer"/>
            <w:spacing w:lineRule="exact" w:line="200"/>
            <w:rPr/>
          </w:pPr>
          <w:r>
            <w:rPr>
              <w:rStyle w:val="zzmpTrailerItem"/>
            </w:rPr>
            <w:t>D:\Local Files\depsum.doc</w:t>
          </w:r>
          <w:r>
            <w:rPr/>
            <w:t xml:space="preserve"> </w:t>
          </w:r>
        </w:p>
        <w:p>
          <w:pPr>
            <w:pStyle w:val="Footer"/>
            <w:spacing w:lineRule="exact" w:line="200"/>
            <w:rPr/>
          </w:pPr>
          <w:r>
            <w:rPr>
              <w:rStyle w:val="zzmpTrailerItem"/>
            </w:rPr>
            <w:t xml:space="preserve">DRAFT </w:t>
          </w:r>
          <w:r>
            <w:rPr>
              <w:rStyle w:val="zzmpTrailerItem"/>
            </w:rPr>
            <w:fldChar w:fldCharType="begin"/>
          </w:r>
          <w:r>
            <w:rPr>
              <w:rStyle w:val="zzmpTrailerItem"/>
            </w:rPr>
            <w:instrText xml:space="preserve"> DATE \@"MM\/d\/yy\ H:mm\ AM/PM" </w:instrText>
          </w:r>
          <w:r>
            <w:rPr>
              <w:rStyle w:val="zzmpTrailerItem"/>
            </w:rPr>
            <w:fldChar w:fldCharType="separate"/>
          </w:r>
          <w:r>
            <w:rPr>
              <w:rStyle w:val="zzmpTrailerItem"/>
            </w:rPr>
            <w:t>09/28/25 9:29 AM</w:t>
          </w:r>
          <w:r>
            <w:rPr>
              <w:rStyle w:val="zzmpTrailerItem"/>
            </w:rPr>
            <w:fldChar w:fldCharType="end"/>
          </w:r>
          <w:r>
            <w:rPr/>
            <w:t xml:space="preserve"> </w:t>
          </w:r>
        </w:p>
      </w:tc>
      <w:tc>
        <w:tcPr>
          <w:tcW w:w="1080" w:type="dxa"/>
          <w:tcBorders/>
        </w:tcPr>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c>
      <w:tc>
        <w:tcPr>
          <w:tcW w:w="4590" w:type="dxa"/>
          <w:tcBorders/>
        </w:tcPr>
        <w:p>
          <w:pPr>
            <w:pStyle w:val="Footer"/>
            <w:snapToGrid w:val="false"/>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D:\Local Files\depsum.doc</w:t>
    </w:r>
    <w:r>
      <w:rPr/>
      <w:t xml:space="preserve"> </w:t>
    </w:r>
  </w:p>
  <w:p>
    <w:pPr>
      <w:pStyle w:val="Footer"/>
      <w:spacing w:lineRule="exact" w:line="200"/>
      <w:rPr/>
    </w:pPr>
    <w:r>
      <w:rPr>
        <w:rStyle w:val="zzmpTrailerItem"/>
      </w:rPr>
      <w:t xml:space="preserve">DRAFT </w:t>
    </w:r>
    <w:r>
      <w:rPr>
        <w:rStyle w:val="zzmpTrailerItem"/>
      </w:rPr>
      <w:fldChar w:fldCharType="begin"/>
    </w:r>
    <w:r>
      <w:rPr>
        <w:rStyle w:val="zzmpTrailerItem"/>
      </w:rPr>
      <w:instrText xml:space="preserve"> DATE \@"MM\/d\/yy\ H:mm\ AM/PM" </w:instrText>
    </w:r>
    <w:r>
      <w:rPr>
        <w:rStyle w:val="zzmpTrailerItem"/>
      </w:rPr>
      <w:fldChar w:fldCharType="separate"/>
    </w:r>
    <w:r>
      <w:rPr>
        <w:rStyle w:val="zzmpTrailerItem"/>
      </w:rPr>
      <w:t>09/28/25 9:29 AM</w:t>
    </w:r>
    <w:r>
      <w:rPr>
        <w:rStyle w:val="zzmpTrailerItem"/>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cbxOptBodyTextAlignment" w:val="0"/>
    <w:docVar w:name="cbxOptOffices" w:val="Los Angeles"/>
    <w:docVar w:name="cbxPeople" w:val="1937"/>
    <w:docVar w:name="chkIncludeDPhrase" w:val="False"/>
    <w:docVar w:name="chkOptIncludeFirmName" w:val="False"/>
    <w:docVar w:name="chkOptInsertDateAsField" w:val="False"/>
    <w:docVar w:name="cmbOptFonts" w:val="Times New Roman"/>
    <w:docVar w:name="lstDeliveryPhrases" w:val="Attorney-Client Privilege"/>
    <w:docVar w:name="Restarted" w:val="True"/>
    <w:docVar w:name="tglUseFirmDefaults" w:val="False"/>
    <w:docVar w:name="txtBCC" w:val="Rolland Tellis&#10;Sabina Bhalla"/>
    <w:docVar w:name="txtCC" w:val="Richard Sanders"/>
    <w:docVar w:name="txtDeliveryPhrases" w:val="Attorney Work Product"/>
    <w:docVar w:name="txtFileNo" w:val="35509.00300"/>
    <w:docVar w:name="txtFrom" w:val="Steve Howard"/>
    <w:docVar w:name="txtOptBottomMargin" w:val="1"/>
    <w:docVar w:name="txtOptFirstLine" w:val="0"/>
    <w:docVar w:name="txtOptFSize" w:val="12"/>
    <w:docVar w:name="txtOptLeftMargin" w:val="1"/>
    <w:docVar w:name="txtOptRightMargin" w:val="1"/>
    <w:docVar w:name="txtOptTopMargin" w:val=".8"/>
    <w:docVar w:name="txtRe" w:val="Stickler's First Day of Deposition - 9/25/00"/>
    <w:docVar w:name="txtTo" w:val="Enron/NSM Litigation: Stickler Witness File"/>
    <w:docVar w:name="zzmpFixedDOC_ID" w:val="D:\Local Files\depsum.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eliveryPhrase">
    <w:name w:val="Delivery Phrase"/>
    <w:basedOn w:val="Normal"/>
    <w:qFormat/>
    <w:pPr>
      <w:spacing w:before="0" w:after="240"/>
    </w:pPr>
    <w:rPr>
      <w:b/>
      <w:caps/>
    </w:rPr>
  </w:style>
  <w:style w:type="paragraph" w:styleId="BodyTextContinued">
    <w:name w:val="Body Text Continued"/>
    <w:basedOn w:val="BodyText"/>
    <w:next w:val="BodyText"/>
    <w:qFormat/>
    <w:pPr>
      <w:widowControl w:val="false"/>
      <w:spacing w:lineRule="auto" w:line="480" w:before="0" w:after="0"/>
    </w:pPr>
    <w:rPr/>
  </w:style>
  <w:style w:type="paragraph" w:styleId="BodyTextIndent">
    <w:name w:val="Body Text Indent"/>
    <w:basedOn w:val="BodyText"/>
    <w:next w:val="BodyText"/>
    <w:pPr>
      <w:widowControl w:val="false"/>
      <w:spacing w:before="0" w:after="0"/>
      <w:ind w:hanging="0" w:start="720" w:end="0"/>
    </w:pPr>
    <w:rPr/>
  </w:style>
  <w:style w:type="paragraph" w:styleId="Centered">
    <w:name w:val="Centered"/>
    <w:basedOn w:val="Normal"/>
    <w:next w:val="BodyText"/>
    <w:qFormat/>
    <w:pPr>
      <w:spacing w:lineRule="exact" w:line="240" w:before="0" w:after="240"/>
      <w:jc w:val="center"/>
    </w:pPr>
    <w:rPr/>
  </w:style>
  <w:style w:type="paragraph" w:styleId="EnvelopeAddress">
    <w:name w:val="envelope address"/>
    <w:basedOn w:val="Normal"/>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LetterDate">
    <w:name w:val="Letter Date"/>
    <w:basedOn w:val="Normal"/>
    <w:next w:val="BodyText"/>
    <w:qFormat/>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2000-09-25T22:03:00Z</dcterms:created>
  <dc:creator>SHoward</dc:creator>
  <dc:description/>
  <dc:language>en-CA</dc:language>
  <cp:lastModifiedBy>SHoward</cp:lastModifiedBy>
  <dcterms:modified xsi:type="dcterms:W3CDTF">2000-09-27T03:41:00Z</dcterms:modified>
  <cp:revision>6</cp:revision>
  <dc:subject/>
  <dc:title>Generic MacPac 8.0 Memo Template, rev. 4/3/97, the Legal MacPac</dc:title>
</cp:coreProperties>
</file>