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Fonts w:cs="Arial Narrow" w:ascii="Arial Narrow" w:hAnsi="Arial Narrow"/>
          <w:b/>
          <w:sz w:val="24"/>
        </w:rPr>
        <w:t>“</w:t>
      </w:r>
      <w:r>
        <w:rPr>
          <w:rFonts w:cs="Arial Narrow" w:ascii="Arial Narrow" w:hAnsi="Arial Narrow"/>
          <w:b/>
          <w:sz w:val="24"/>
        </w:rPr>
        <w:t>Annual Period”</w:t>
      </w:r>
      <w:r>
        <w:rPr>
          <w:rFonts w:cs="Arial Narrow" w:ascii="Arial Narrow" w:hAnsi="Arial Narrow"/>
          <w:sz w:val="24"/>
        </w:rPr>
        <w:t xml:space="preserve"> means the twelve (12) month period ending December 31</w:t>
      </w:r>
      <w:r>
        <w:rPr>
          <w:rFonts w:cs="Arial Narrow" w:ascii="Arial Narrow" w:hAnsi="Arial Narrow"/>
          <w:sz w:val="24"/>
          <w:vertAlign w:val="superscript"/>
        </w:rPr>
        <w:t>st</w:t>
      </w:r>
      <w:r>
        <w:rPr>
          <w:rFonts w:cs="Arial Narrow" w:ascii="Arial Narrow" w:hAnsi="Arial Narrow"/>
          <w:sz w:val="24"/>
        </w:rPr>
        <w:t xml:space="preserve">.  </w:t>
      </w:r>
    </w:p>
    <w:p>
      <w:pPr>
        <w:pStyle w:val="Normal"/>
        <w:jc w:val="both"/>
        <w:rPr>
          <w:rFonts w:ascii="Arial Narrow" w:hAnsi="Arial Narrow" w:cs="Arial Narrow"/>
          <w:sz w:val="24"/>
        </w:rPr>
      </w:pPr>
      <w:r>
        <w:rPr>
          <w:rFonts w:cs="Arial Narrow" w:ascii="Arial Narrow" w:hAnsi="Arial Narrow"/>
          <w:sz w:val="24"/>
        </w:rPr>
      </w:r>
    </w:p>
    <w:p>
      <w:pPr>
        <w:pStyle w:val="Normal"/>
        <w:jc w:val="both"/>
        <w:rPr/>
      </w:pPr>
      <w:r>
        <w:rPr>
          <w:rFonts w:cs="Arial Narrow" w:ascii="Arial Narrow" w:hAnsi="Arial Narrow"/>
          <w:b/>
          <w:sz w:val="24"/>
        </w:rPr>
        <w:t>“</w:t>
      </w:r>
      <w:r>
        <w:rPr>
          <w:rFonts w:cs="Arial Narrow" w:ascii="Arial Narrow" w:hAnsi="Arial Narrow"/>
          <w:b/>
          <w:sz w:val="24"/>
        </w:rPr>
        <w:t xml:space="preserve">Cash Flow” </w:t>
      </w:r>
      <w:r>
        <w:rPr>
          <w:rFonts w:cs="Arial Narrow" w:ascii="Arial Narrow" w:hAnsi="Arial Narrow"/>
          <w:sz w:val="24"/>
        </w:rPr>
        <w:t xml:space="preserve">means for each Quarterly Period and Annual Period the sum (without duplication) of net income </w:t>
      </w:r>
      <w:r>
        <w:rPr>
          <w:rFonts w:cs="Arial Narrow" w:ascii="Arial Narrow" w:hAnsi="Arial Narrow"/>
          <w:sz w:val="24"/>
          <w:u w:val="single"/>
        </w:rPr>
        <w:t>plus</w:t>
      </w:r>
      <w:r>
        <w:rPr>
          <w:rFonts w:cs="Arial Narrow" w:ascii="Arial Narrow" w:hAnsi="Arial Narrow"/>
          <w:sz w:val="24"/>
        </w:rPr>
        <w:t xml:space="preserve"> depreciation, amortization and other non-cash charges, to the extent deducted in determining net income, all as determined with GAAP.  </w:t>
      </w:r>
    </w:p>
    <w:p>
      <w:pPr>
        <w:pStyle w:val="Normal"/>
        <w:jc w:val="both"/>
        <w:rPr>
          <w:rFonts w:ascii="Arial Narrow" w:hAnsi="Arial Narrow" w:cs="Arial Narrow"/>
          <w:sz w:val="24"/>
        </w:rPr>
      </w:pPr>
      <w:r>
        <w:rPr>
          <w:rFonts w:cs="Arial Narrow" w:ascii="Arial Narrow" w:hAnsi="Arial Narrow"/>
          <w:sz w:val="24"/>
        </w:rPr>
      </w:r>
    </w:p>
    <w:p>
      <w:pPr>
        <w:pStyle w:val="Normal"/>
        <w:jc w:val="both"/>
        <w:rPr/>
      </w:pPr>
      <w:r>
        <w:rPr>
          <w:rFonts w:cs="Arial Narrow" w:ascii="Arial Narrow" w:hAnsi="Arial Narrow"/>
          <w:b/>
          <w:sz w:val="24"/>
        </w:rPr>
        <w:t>"Funded Debt"</w:t>
      </w:r>
      <w:r>
        <w:rPr>
          <w:rFonts w:cs="Arial Narrow" w:ascii="Arial Narrow" w:hAnsi="Arial Narrow"/>
          <w:sz w:val="24"/>
        </w:rPr>
        <w:t xml:space="preserve"> means indebtedness of the Customer and its consolidated subsidiaries, if any, which by its terms matures more than one year from the date as of which any calculation of Funded Debt is made.</w:t>
      </w:r>
    </w:p>
    <w:p>
      <w:pPr>
        <w:pStyle w:val="Normal"/>
        <w:jc w:val="both"/>
        <w:rPr>
          <w:rFonts w:ascii="Arial Narrow" w:hAnsi="Arial Narrow" w:cs="Arial Narrow"/>
          <w:sz w:val="24"/>
        </w:rPr>
      </w:pPr>
      <w:r>
        <w:rPr>
          <w:rFonts w:cs="Arial Narrow" w:ascii="Arial Narrow" w:hAnsi="Arial Narrow"/>
          <w:sz w:val="24"/>
        </w:rPr>
      </w:r>
    </w:p>
    <w:p>
      <w:pPr>
        <w:pStyle w:val="Normal"/>
        <w:jc w:val="both"/>
        <w:rPr/>
      </w:pPr>
      <w:r>
        <w:rPr>
          <w:rFonts w:cs="Arial Narrow" w:ascii="Arial Narrow" w:hAnsi="Arial Narrow"/>
          <w:b/>
          <w:sz w:val="24"/>
        </w:rPr>
        <w:t>“</w:t>
      </w:r>
      <w:r>
        <w:rPr>
          <w:rFonts w:cs="Arial Narrow" w:ascii="Arial Narrow" w:hAnsi="Arial Narrow"/>
          <w:b/>
          <w:sz w:val="24"/>
        </w:rPr>
        <w:t>Interest Expense”</w:t>
      </w:r>
      <w:r>
        <w:rPr>
          <w:rFonts w:cs="Arial Narrow" w:ascii="Arial Narrow" w:hAnsi="Arial Narrow"/>
          <w:sz w:val="24"/>
        </w:rPr>
        <w:t xml:space="preserve"> means, for any Quarterly Period and Annual Period, without duplication, the total interest expense of the Customer and its consolidated subsidiaries, if any,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interest actually paid by Customer or any of its subsidiaries under any guarantee of indebtedness or other obligations of any other person.</w:t>
      </w:r>
    </w:p>
    <w:p>
      <w:pPr>
        <w:pStyle w:val="Normal"/>
        <w:jc w:val="both"/>
        <w:rPr>
          <w:rFonts w:ascii="Arial Narrow" w:hAnsi="Arial Narrow" w:cs="Arial Narrow"/>
          <w:sz w:val="24"/>
        </w:rPr>
      </w:pPr>
      <w:r>
        <w:rPr>
          <w:rFonts w:cs="Arial Narrow" w:ascii="Arial Narrow" w:hAnsi="Arial Narrow"/>
          <w:sz w:val="24"/>
        </w:rPr>
      </w:r>
    </w:p>
    <w:p>
      <w:pPr>
        <w:pStyle w:val="Normal"/>
        <w:spacing w:lineRule="atLeast" w:line="240"/>
        <w:jc w:val="both"/>
        <w:rPr/>
      </w:pPr>
      <w:r>
        <w:rPr>
          <w:rFonts w:cs="Arial Narrow" w:ascii="Arial Narrow" w:hAnsi="Arial Narrow"/>
          <w:b/>
          <w:sz w:val="24"/>
        </w:rPr>
        <w:t>"Material Adverse Change"</w:t>
      </w:r>
      <w:r>
        <w:rPr>
          <w:rFonts w:cs="Arial Narrow" w:ascii="Arial Narrow" w:hAnsi="Arial Narrow"/>
          <w:sz w:val="24"/>
        </w:rPr>
        <w:t xml:space="preserve"> means, (i) with respect to Company, Enron Corp. shall have long-term debt unsupported by third party credit enhancement that is rated by Standard &amp; Poor’s Corporation below BBB- or (ii) with respect to Customer, Customer (a) shall have a ratio of Cash Flow-to-Scheduled Principal and Interest Expense of less than 1.10:1.0; or (b) does not remain in compliance with any financial covenants governing any portion of its Funded Debt.</w:t>
      </w:r>
    </w:p>
    <w:p>
      <w:pPr>
        <w:pStyle w:val="Normal"/>
        <w:spacing w:lineRule="atLeast" w:line="240"/>
        <w:jc w:val="both"/>
        <w:rPr>
          <w:rFonts w:ascii="Arial Narrow" w:hAnsi="Arial Narrow" w:cs="Arial Narrow"/>
          <w:sz w:val="24"/>
        </w:rPr>
      </w:pPr>
      <w:r>
        <w:rPr>
          <w:rFonts w:cs="Arial Narrow" w:ascii="Arial Narrow" w:hAnsi="Arial Narrow"/>
          <w:sz w:val="24"/>
        </w:rPr>
      </w:r>
    </w:p>
    <w:p>
      <w:pPr>
        <w:pStyle w:val="Normal"/>
        <w:jc w:val="both"/>
        <w:rPr/>
      </w:pPr>
      <w:r>
        <w:rPr>
          <w:rFonts w:cs="Arial Narrow" w:ascii="Arial Narrow" w:hAnsi="Arial Narrow"/>
          <w:b/>
          <w:sz w:val="24"/>
        </w:rPr>
        <w:t>“</w:t>
      </w:r>
      <w:r>
        <w:rPr>
          <w:rFonts w:cs="Arial Narrow" w:ascii="Arial Narrow" w:hAnsi="Arial Narrow"/>
          <w:b/>
          <w:sz w:val="24"/>
        </w:rPr>
        <w:t>Quarterly Period”</w:t>
      </w:r>
      <w:r>
        <w:rPr>
          <w:rFonts w:cs="Arial Narrow" w:ascii="Arial Narrow" w:hAnsi="Arial Narrow"/>
          <w:sz w:val="24"/>
        </w:rPr>
        <w:t xml:space="preserve"> means the three month periods ending March 31</w:t>
      </w:r>
      <w:r>
        <w:rPr>
          <w:rFonts w:cs="Arial Narrow" w:ascii="Arial Narrow" w:hAnsi="Arial Narrow"/>
          <w:sz w:val="24"/>
          <w:vertAlign w:val="superscript"/>
        </w:rPr>
        <w:t>st</w:t>
      </w:r>
      <w:r>
        <w:rPr>
          <w:rFonts w:cs="Arial Narrow" w:ascii="Arial Narrow" w:hAnsi="Arial Narrow"/>
          <w:sz w:val="24"/>
        </w:rPr>
        <w:t>, June 30</w:t>
      </w:r>
      <w:r>
        <w:rPr>
          <w:rFonts w:cs="Arial Narrow" w:ascii="Arial Narrow" w:hAnsi="Arial Narrow"/>
          <w:sz w:val="24"/>
          <w:vertAlign w:val="superscript"/>
        </w:rPr>
        <w:t>th</w:t>
      </w:r>
      <w:r>
        <w:rPr>
          <w:rFonts w:cs="Arial Narrow" w:ascii="Arial Narrow" w:hAnsi="Arial Narrow"/>
          <w:sz w:val="24"/>
        </w:rPr>
        <w:t>, September 30</w:t>
      </w:r>
      <w:r>
        <w:rPr>
          <w:rFonts w:cs="Arial Narrow" w:ascii="Arial Narrow" w:hAnsi="Arial Narrow"/>
          <w:sz w:val="24"/>
          <w:vertAlign w:val="superscript"/>
        </w:rPr>
        <w:t>th</w:t>
      </w:r>
      <w:r>
        <w:rPr>
          <w:rFonts w:cs="Arial Narrow" w:ascii="Arial Narrow" w:hAnsi="Arial Narrow"/>
          <w:sz w:val="24"/>
        </w:rPr>
        <w:t>, and December 31</w:t>
      </w:r>
      <w:r>
        <w:rPr>
          <w:rFonts w:cs="Arial Narrow" w:ascii="Arial Narrow" w:hAnsi="Arial Narrow"/>
          <w:sz w:val="24"/>
          <w:vertAlign w:val="superscript"/>
        </w:rPr>
        <w:t>st</w:t>
      </w:r>
      <w:r>
        <w:rPr>
          <w:rFonts w:cs="Arial Narrow" w:ascii="Arial Narrow" w:hAnsi="Arial Narrow"/>
          <w:sz w:val="24"/>
        </w:rPr>
        <w:t xml:space="preserve">.  </w:t>
      </w:r>
    </w:p>
    <w:p>
      <w:pPr>
        <w:pStyle w:val="Normal"/>
        <w:jc w:val="both"/>
        <w:rPr>
          <w:rFonts w:ascii="Arial Narrow" w:hAnsi="Arial Narrow" w:cs="Arial Narrow"/>
          <w:sz w:val="24"/>
        </w:rPr>
      </w:pPr>
      <w:r>
        <w:rPr>
          <w:rFonts w:cs="Arial Narrow" w:ascii="Arial Narrow" w:hAnsi="Arial Narrow"/>
          <w:sz w:val="24"/>
        </w:rPr>
      </w:r>
    </w:p>
    <w:p>
      <w:pPr>
        <w:pStyle w:val="Normal"/>
        <w:jc w:val="both"/>
        <w:rPr/>
      </w:pPr>
      <w:r>
        <w:rPr>
          <w:rFonts w:cs="Arial Narrow" w:ascii="Arial Narrow" w:hAnsi="Arial Narrow"/>
          <w:b/>
          <w:sz w:val="24"/>
        </w:rPr>
        <w:t>“</w:t>
      </w:r>
      <w:r>
        <w:rPr>
          <w:rFonts w:cs="Arial Narrow" w:ascii="Arial Narrow" w:hAnsi="Arial Narrow"/>
          <w:b/>
          <w:sz w:val="24"/>
        </w:rPr>
        <w:t>Scheduled Principal and Interest Expense”</w:t>
      </w:r>
      <w:r>
        <w:rPr>
          <w:rFonts w:cs="Arial Narrow" w:ascii="Arial Narrow" w:hAnsi="Arial Narrow"/>
          <w:sz w:val="24"/>
        </w:rPr>
        <w:t xml:space="preserve"> means for each Quarterly and Annual Period the scheduled principal payments associated with the Customer’s Funded Debt, </w:t>
      </w:r>
      <w:r>
        <w:rPr>
          <w:rFonts w:cs="Arial Narrow" w:ascii="Arial Narrow" w:hAnsi="Arial Narrow"/>
          <w:sz w:val="24"/>
          <w:u w:val="single"/>
        </w:rPr>
        <w:t xml:space="preserve">plus </w:t>
      </w:r>
      <w:r>
        <w:rPr>
          <w:rFonts w:cs="Arial Narrow" w:ascii="Arial Narrow" w:hAnsi="Arial Narrow"/>
          <w:sz w:val="24"/>
        </w:rPr>
        <w:t xml:space="preserve">associated Interest Expense for the comparable period.  </w:t>
      </w:r>
    </w:p>
    <w:p>
      <w:pPr>
        <w:pStyle w:val="Normal"/>
        <w:spacing w:lineRule="atLeast" w:line="240"/>
        <w:jc w:val="both"/>
        <w:rPr>
          <w:rFonts w:ascii="Arial Narrow" w:hAnsi="Arial Narrow" w:cs="Arial Narrow"/>
          <w:sz w:val="24"/>
        </w:rPr>
      </w:pPr>
      <w:r>
        <w:rPr>
          <w:rFonts w:cs="Arial Narrow" w:ascii="Arial Narrow" w:hAnsi="Arial Narrow"/>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1999-10-01T14:31:00Z</dcterms:created>
  <dc:creator>Christopher Smith</dc:creator>
  <dc:description/>
  <dc:language>en-CA</dc:language>
  <cp:lastModifiedBy>Christopher Smith</cp:lastModifiedBy>
  <cp:lastPrinted>1999-08-27T10:11:00Z</cp:lastPrinted>
  <dcterms:modified xsi:type="dcterms:W3CDTF">1999-10-01T14:31:00Z</dcterms:modified>
  <cp:revision>2</cp:revision>
  <dc:subject/>
  <dc:title>“Cash Flow “means for each Quarterly Period and Annual Period the sum (without duplication) of net income plus depreciation, amortization and other non-cash charges, to the extent deducted in determining net income, all as determined with GAAP</dc:title>
</cp:coreProperties>
</file>