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Date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Name</w:t>
      </w:r>
    </w:p>
    <w:p>
      <w:pPr>
        <w:pStyle w:val="Normal"/>
        <w:rPr>
          <w:rFonts w:ascii="Arial" w:hAnsi="Arial" w:cs="Arial"/>
        </w:rPr>
      </w:pPr>
      <w:r>
        <w:rPr>
          <w:rFonts w:cs="Arial" w:ascii="Arial" w:hAnsi="Arial"/>
        </w:rPr>
        <w:t>Address</w:t>
      </w:r>
    </w:p>
    <w:p>
      <w:pPr>
        <w:pStyle w:val="Normal"/>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Re:</w:t>
        <w:tab/>
        <w:t>Deferral Plans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Dear ___________:</w:t>
        <w:br/>
      </w:r>
    </w:p>
    <w:p>
      <w:pPr>
        <w:pStyle w:val="Normal"/>
        <w:rPr/>
      </w:pPr>
      <w:r>
        <w:rPr>
          <w:rFonts w:cs="Arial" w:ascii="Arial" w:hAnsi="Arial"/>
        </w:rPr>
        <w:t xml:space="preserve">As you are already aware, on December 1, 2001 (the “Petition Date”), the seemingly unthinkable happened and Enron Corp. (the “Company”) </w:t>
      </w:r>
      <w:r>
        <w:rPr>
          <w:rFonts w:cs="Arial" w:ascii="Arial" w:hAnsi="Arial"/>
          <w:color w:val="0000FF"/>
        </w:rPr>
        <w:t>elected</w:t>
      </w:r>
      <w:r>
        <w:rPr>
          <w:rFonts w:cs="Arial" w:ascii="Arial" w:hAnsi="Arial"/>
        </w:rPr>
        <w:t xml:space="preserve"> to file for bankruptcy protection.  This event has and may continue to result in many hardships for all involved, including the Company’s current and former employees.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Unfortunately, as a participant in one of the Company’s deferral plans, we must inform you that all payments under the deferral plans have ceased as of the date of the bankruptcy filing.  At this time, the Company is prohibited from making distributions to all participants (including active and former employees).  Distributions to deferral plan participants who are in pay status have ceased as of November 30, 2001.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We realize that many of the participants in the deferral plans count on payments for a significant portion of their retirement income.  For others, these amounts are integral components in future retirement planning.  It is our most sincere wish that payments under the deferral plans could continue; however, under bankruptcy law the payments must be stopped.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As you may remember, the deferral plans are non-qualified deferred compensation arrangements which provide the benefit of income tax deferral on amounts that participants elect to contribute to the plans.  In order to receive this tax benefit, participants have only limited distribution rights and the assets contributed to the deferral plans must be subject to the claims of the Company’s creditors.  Since the Company has entered bankruptcy, no distributions may be made from the deferral plans without bankruptcy court approval.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Over the next few weeks, a committee of the Company’s creditors will be formed.  Once the committee is formed, and the initial phase of the bankruptcy filing is complete, the Company will begin to explore options with its creditors to seek approval to restart deferral plan payments, or to somehow otherwise restore the value lost to deferral plan participants.  The Company can make no promises that it will be successful in these endeavors, but you can be sure that we will use all reasonable efforts.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Below are the balance(s) in your name currently reflected on the Company’s books under the following deferral plans:</w:t>
      </w:r>
    </w:p>
    <w:p>
      <w:pPr>
        <w:pStyle w:val="Normal"/>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4968"/>
        <w:gridCol w:w="3888"/>
      </w:tblGrid>
      <w:tr>
        <w:trPr/>
        <w:tc>
          <w:tcPr>
            <w:tcW w:w="4968" w:type="dxa"/>
            <w:tcBorders/>
          </w:tcPr>
          <w:p>
            <w:pPr>
              <w:pStyle w:val="Normal"/>
              <w:jc w:val="center"/>
              <w:rPr>
                <w:rFonts w:ascii="Arial" w:hAnsi="Arial" w:cs="Arial"/>
                <w:u w:val="single"/>
              </w:rPr>
            </w:pPr>
            <w:r>
              <w:rPr>
                <w:rFonts w:cs="Arial" w:ascii="Arial" w:hAnsi="Arial"/>
                <w:u w:val="single"/>
              </w:rPr>
              <w:t>Plan Name</w:t>
            </w:r>
          </w:p>
        </w:tc>
        <w:tc>
          <w:tcPr>
            <w:tcW w:w="3888" w:type="dxa"/>
            <w:tcBorders/>
          </w:tcPr>
          <w:p>
            <w:pPr>
              <w:pStyle w:val="Normal"/>
              <w:jc w:val="center"/>
              <w:rPr>
                <w:rFonts w:ascii="Arial" w:hAnsi="Arial" w:cs="Arial"/>
                <w:u w:val="single"/>
              </w:rPr>
            </w:pPr>
            <w:r>
              <w:rPr>
                <w:rFonts w:cs="Arial" w:ascii="Arial" w:hAnsi="Arial"/>
                <w:u w:val="single"/>
              </w:rPr>
              <w:t>Balance</w:t>
            </w:r>
          </w:p>
        </w:tc>
      </w:tr>
      <w:tr>
        <w:trPr/>
        <w:tc>
          <w:tcPr>
            <w:tcW w:w="4968" w:type="dxa"/>
            <w:tcBorders/>
          </w:tcPr>
          <w:p>
            <w:pPr>
              <w:pStyle w:val="Normal"/>
              <w:spacing w:before="60" w:after="60"/>
              <w:rPr>
                <w:rFonts w:ascii="Arial" w:hAnsi="Arial" w:cs="Arial"/>
              </w:rPr>
            </w:pPr>
            <w:r>
              <w:rPr>
                <w:rFonts w:cs="Arial" w:ascii="Arial" w:hAnsi="Arial"/>
              </w:rPr>
              <w:t>Enron Corp. 1994 Deferral Plan</w:t>
            </w:r>
          </w:p>
        </w:tc>
        <w:tc>
          <w:tcPr>
            <w:tcW w:w="3888" w:type="dxa"/>
            <w:tcBorders/>
          </w:tcPr>
          <w:p>
            <w:pPr>
              <w:pStyle w:val="Normal"/>
              <w:spacing w:before="60" w:after="60"/>
              <w:rPr>
                <w:rFonts w:ascii="Arial" w:hAnsi="Arial" w:cs="Arial"/>
              </w:rPr>
            </w:pPr>
            <w:r>
              <w:rPr>
                <w:rFonts w:cs="Arial" w:ascii="Arial" w:hAnsi="Arial"/>
              </w:rPr>
              <w:t>$</w:t>
            </w:r>
          </w:p>
        </w:tc>
      </w:tr>
      <w:tr>
        <w:trPr/>
        <w:tc>
          <w:tcPr>
            <w:tcW w:w="4968" w:type="dxa"/>
            <w:tcBorders/>
          </w:tcPr>
          <w:p>
            <w:pPr>
              <w:pStyle w:val="Normal"/>
              <w:spacing w:before="60" w:after="60"/>
              <w:rPr>
                <w:rFonts w:ascii="Arial" w:hAnsi="Arial" w:cs="Arial"/>
              </w:rPr>
            </w:pPr>
            <w:r>
              <w:rPr>
                <w:rFonts w:cs="Arial" w:ascii="Arial" w:hAnsi="Arial"/>
              </w:rPr>
              <w:t>Enron Corp.1992 Deferral Plan</w:t>
            </w:r>
          </w:p>
        </w:tc>
        <w:tc>
          <w:tcPr>
            <w:tcW w:w="3888" w:type="dxa"/>
            <w:tcBorders/>
          </w:tcPr>
          <w:p>
            <w:pPr>
              <w:pStyle w:val="Normal"/>
              <w:spacing w:before="60" w:after="60"/>
              <w:rPr>
                <w:rFonts w:ascii="Arial" w:hAnsi="Arial" w:cs="Arial"/>
              </w:rPr>
            </w:pPr>
            <w:r>
              <w:rPr>
                <w:rFonts w:cs="Arial" w:ascii="Arial" w:hAnsi="Arial"/>
              </w:rPr>
              <w:t>$</w:t>
            </w:r>
          </w:p>
        </w:tc>
      </w:tr>
      <w:tr>
        <w:trPr/>
        <w:tc>
          <w:tcPr>
            <w:tcW w:w="4968" w:type="dxa"/>
            <w:tcBorders/>
          </w:tcPr>
          <w:p>
            <w:pPr>
              <w:pStyle w:val="Normal"/>
              <w:spacing w:before="60" w:after="60"/>
              <w:rPr>
                <w:rFonts w:ascii="Arial" w:hAnsi="Arial" w:cs="Arial"/>
              </w:rPr>
            </w:pPr>
            <w:r>
              <w:rPr>
                <w:rFonts w:cs="Arial" w:ascii="Arial" w:hAnsi="Arial"/>
              </w:rPr>
              <w:t xml:space="preserve">Enron Corp. 1988 Deferral Plan </w:t>
            </w:r>
            <w:r>
              <w:rPr>
                <w:rFonts w:cs="Arial" w:ascii="Arial" w:hAnsi="Arial"/>
                <w:vertAlign w:val="superscript"/>
              </w:rPr>
              <w:t>1</w:t>
            </w:r>
          </w:p>
        </w:tc>
        <w:tc>
          <w:tcPr>
            <w:tcW w:w="3888" w:type="dxa"/>
            <w:tcBorders/>
          </w:tcPr>
          <w:p>
            <w:pPr>
              <w:pStyle w:val="Normal"/>
              <w:spacing w:before="60" w:after="60"/>
              <w:rPr>
                <w:rFonts w:ascii="Arial" w:hAnsi="Arial" w:cs="Arial"/>
              </w:rPr>
            </w:pPr>
            <w:r>
              <w:rPr>
                <w:rFonts w:cs="Arial" w:ascii="Arial" w:hAnsi="Arial"/>
              </w:rPr>
              <w:t>$</w:t>
            </w:r>
          </w:p>
        </w:tc>
      </w:tr>
      <w:tr>
        <w:trPr/>
        <w:tc>
          <w:tcPr>
            <w:tcW w:w="4968" w:type="dxa"/>
            <w:tcBorders/>
          </w:tcPr>
          <w:p>
            <w:pPr>
              <w:pStyle w:val="Header"/>
              <w:tabs>
                <w:tab w:val="clear" w:pos="4320"/>
                <w:tab w:val="clear" w:pos="8640"/>
              </w:tabs>
              <w:spacing w:before="60" w:after="60"/>
              <w:rPr>
                <w:rFonts w:ascii="Arial" w:hAnsi="Arial" w:cs="Arial"/>
              </w:rPr>
            </w:pPr>
            <w:r>
              <w:rPr>
                <w:rFonts w:cs="Arial" w:ascii="Arial" w:hAnsi="Arial"/>
              </w:rPr>
              <w:t>Enron Expat Services Inc. Deferral Plan</w:t>
            </w:r>
          </w:p>
        </w:tc>
        <w:tc>
          <w:tcPr>
            <w:tcW w:w="3888" w:type="dxa"/>
            <w:tcBorders/>
          </w:tcPr>
          <w:p>
            <w:pPr>
              <w:pStyle w:val="Normal"/>
              <w:spacing w:before="60" w:after="60"/>
              <w:rPr>
                <w:rFonts w:ascii="Arial" w:hAnsi="Arial" w:cs="Arial"/>
              </w:rPr>
            </w:pPr>
            <w:r>
              <w:rPr>
                <w:rFonts w:cs="Arial" w:ascii="Arial" w:hAnsi="Arial"/>
              </w:rPr>
              <w:t>$</w:t>
            </w:r>
          </w:p>
        </w:tc>
      </w:tr>
      <w:tr>
        <w:trPr/>
        <w:tc>
          <w:tcPr>
            <w:tcW w:w="4968" w:type="dxa"/>
            <w:tcBorders/>
          </w:tcPr>
          <w:p>
            <w:pPr>
              <w:pStyle w:val="Normal"/>
              <w:spacing w:before="60" w:after="60"/>
              <w:rPr>
                <w:rFonts w:ascii="Arial" w:hAnsi="Arial" w:cs="Arial"/>
              </w:rPr>
            </w:pPr>
            <w:r>
              <w:rPr>
                <w:rFonts w:cs="Arial" w:ascii="Arial" w:hAnsi="Arial"/>
              </w:rPr>
              <w:t>HNG Deferred Income Program</w:t>
            </w:r>
          </w:p>
        </w:tc>
        <w:tc>
          <w:tcPr>
            <w:tcW w:w="3888" w:type="dxa"/>
            <w:tcBorders/>
          </w:tcPr>
          <w:p>
            <w:pPr>
              <w:pStyle w:val="Normal"/>
              <w:spacing w:before="60" w:after="60"/>
              <w:rPr>
                <w:rFonts w:ascii="Arial" w:hAnsi="Arial" w:cs="Arial"/>
              </w:rPr>
            </w:pPr>
            <w:r>
              <w:rPr>
                <w:rFonts w:cs="Arial" w:ascii="Arial" w:hAnsi="Arial"/>
              </w:rPr>
              <w:t>$</w:t>
            </w:r>
          </w:p>
        </w:tc>
      </w:tr>
      <w:tr>
        <w:trPr/>
        <w:tc>
          <w:tcPr>
            <w:tcW w:w="4968" w:type="dxa"/>
            <w:tcBorders/>
          </w:tcPr>
          <w:p>
            <w:pPr>
              <w:pStyle w:val="Normal"/>
              <w:spacing w:before="60" w:after="60"/>
              <w:ind w:start="720" w:end="0"/>
              <w:rPr>
                <w:rFonts w:ascii="Arial" w:hAnsi="Arial" w:cs="Arial"/>
                <w:b/>
              </w:rPr>
            </w:pPr>
            <w:r>
              <w:rPr>
                <w:rFonts w:cs="Arial" w:ascii="Arial" w:hAnsi="Arial"/>
                <w:b/>
              </w:rPr>
              <w:t>Total</w:t>
            </w:r>
          </w:p>
        </w:tc>
        <w:tc>
          <w:tcPr>
            <w:tcW w:w="3888" w:type="dxa"/>
            <w:tcBorders/>
          </w:tcPr>
          <w:p>
            <w:pPr>
              <w:pStyle w:val="Normal"/>
              <w:snapToGrid w:val="false"/>
              <w:spacing w:before="60" w:after="60"/>
              <w:ind w:start="792" w:end="0"/>
              <w:rPr>
                <w:rFonts w:ascii="Arial" w:hAnsi="Arial" w:cs="Arial"/>
                <w:b/>
              </w:rPr>
            </w:pPr>
            <w:r>
              <w:rPr>
                <w:rFonts w:cs="Arial" w:ascii="Arial" w:hAnsi="Arial"/>
                <w:b/>
              </w:rPr>
            </w:r>
          </w:p>
        </w:tc>
      </w:tr>
    </w:tbl>
    <w:p>
      <w:pPr>
        <w:pStyle w:val="Normal"/>
        <w:rPr>
          <w:rFonts w:ascii="Arial" w:hAnsi="Arial" w:cs="Arial"/>
          <w:u w:val="single"/>
        </w:rPr>
      </w:pPr>
      <w:r>
        <w:rPr>
          <w:rFonts w:cs="Arial" w:ascii="Arial" w:hAnsi="Arial"/>
          <w:u w:val="single"/>
        </w:rPr>
      </w:r>
    </w:p>
    <w:p>
      <w:pPr>
        <w:pStyle w:val="Normal"/>
        <w:rPr>
          <w:rFonts w:ascii="Arial" w:hAnsi="Arial" w:cs="Arial"/>
          <w:u w:val="single"/>
        </w:rPr>
      </w:pPr>
      <w:r>
        <w:rPr>
          <w:rFonts w:cs="Arial" w:ascii="Arial" w:hAnsi="Arial"/>
        </w:rPr>
        <w:t>(</w:t>
      </w:r>
      <w:r>
        <w:rPr>
          <w:rFonts w:cs="Arial" w:ascii="Arial" w:hAnsi="Arial"/>
          <w:vertAlign w:val="superscript"/>
        </w:rPr>
        <w:t>1</w:t>
      </w:r>
      <w:r>
        <w:rPr>
          <w:rFonts w:cs="Arial" w:ascii="Arial" w:hAnsi="Arial"/>
        </w:rPr>
        <w:t xml:space="preserve"> Includes balances related to deferrals under either the HNG/Internorth Deferral Plan and/or the 1985 Enron Corp. Deferral Plan.)</w:t>
      </w:r>
    </w:p>
    <w:p>
      <w:pPr>
        <w:pStyle w:val="Normal"/>
        <w:autoSpaceDE w:val="false"/>
        <w:rPr>
          <w:rFonts w:ascii="Arial" w:hAnsi="Arial" w:cs="Arial"/>
          <w:u w:val="single"/>
        </w:rPr>
      </w:pPr>
      <w:r>
        <w:rPr>
          <w:rFonts w:cs="Arial" w:ascii="Arial" w:hAnsi="Arial"/>
          <w:u w:val="single"/>
        </w:rPr>
      </w:r>
    </w:p>
    <w:p>
      <w:pPr>
        <w:pStyle w:val="Normal"/>
        <w:autoSpaceDE w:val="false"/>
        <w:rPr>
          <w:rFonts w:ascii="Arial" w:hAnsi="Arial" w:cs="Arial"/>
        </w:rPr>
      </w:pPr>
      <w:r>
        <w:rPr>
          <w:rFonts w:cs="Arial" w:ascii="Arial" w:hAnsi="Arial"/>
        </w:rPr>
        <w:t xml:space="preserve">In general, claims under the deferral plans have the same status as that of the Company’s other general unsecured creditors.  Claims of unsecured creditors of a bankrupt company are generally paid after the claims of secured creditors are satisfied, unless the bankruptcy code applies a special priority to the particular type of claim.  There is no special bankruptcy priority granted to claims relating to the deferral plans, with the exception of a limited priority of $4,650.00 that may apply to compensation earned by employees within 90 days of the Petition Date.  </w:t>
      </w:r>
    </w:p>
    <w:p>
      <w:pPr>
        <w:pStyle w:val="Normal"/>
        <w:rPr>
          <w:rFonts w:ascii="Arial" w:hAnsi="Arial" w:cs="Arial"/>
        </w:rPr>
      </w:pPr>
      <w:r>
        <w:rPr>
          <w:rFonts w:cs="Arial" w:ascii="Arial" w:hAnsi="Arial"/>
        </w:rPr>
      </w:r>
    </w:p>
    <w:p>
      <w:pPr>
        <w:pStyle w:val="Normal"/>
        <w:autoSpaceDE w:val="false"/>
        <w:rPr/>
      </w:pPr>
      <w:r>
        <w:rPr>
          <w:rFonts w:cs="Arial" w:ascii="Arial" w:hAnsi="Arial"/>
        </w:rPr>
        <w:t xml:space="preserve">To the extent you have a deferral plan benefit that has not been paid to you, you may have a claim against the Company’s bankruptcy estate.  You should file a claim accordingly.  Enclosed are instructions for filing a proof of claim form and a sample form.  You are encouraged to file a claim to preserve any rights you may have to deferral plan benefits.  The form may be accessed at </w:t>
      </w:r>
      <w:hyperlink r:id="rId2">
        <w:r>
          <w:rPr>
            <w:rStyle w:val="Hyperlink"/>
            <w:rFonts w:cs="Arial" w:ascii="Arial" w:hAnsi="Arial"/>
          </w:rPr>
          <w:t>http://www.nysb.uscourts.gov./pdf/proofofclaimnew.pdf</w:t>
        </w:r>
      </w:hyperlink>
      <w:r>
        <w:rPr>
          <w:rFonts w:cs="Arial" w:ascii="Arial" w:hAnsi="Arial"/>
        </w:rPr>
        <w:t>.  Some additional information is also provided in a question and answer format.</w:t>
      </w:r>
    </w:p>
    <w:p>
      <w:pPr>
        <w:pStyle w:val="Normal"/>
        <w:autoSpaceDE w:val="false"/>
        <w:rPr>
          <w:rFonts w:ascii="Arial" w:hAnsi="Arial" w:cs="Arial"/>
        </w:rPr>
      </w:pPr>
      <w:r>
        <w:rPr>
          <w:rFonts w:cs="Arial" w:ascii="Arial" w:hAnsi="Arial"/>
        </w:rPr>
      </w:r>
    </w:p>
    <w:p>
      <w:pPr>
        <w:pStyle w:val="Normal"/>
        <w:autoSpaceDE w:val="false"/>
        <w:rPr>
          <w:rFonts w:ascii="Arial" w:hAnsi="Arial" w:cs="Arial"/>
        </w:rPr>
      </w:pPr>
      <w:r>
        <w:rPr>
          <w:rFonts w:cs="Arial" w:ascii="Arial" w:hAnsi="Arial"/>
        </w:rPr>
        <w:t>At this time, the Company’s human resources staff is working to answer the many questions raised by current and former employees due to the bankruptcy filing.  It may not be possible for the staff to speak with you directly during the next few weeks.  If you have any questions, we ask that you please call (713) 345-7960 and leave a message or to please forward your questions in writing to:</w:t>
      </w:r>
    </w:p>
    <w:p>
      <w:pPr>
        <w:pStyle w:val="Normal"/>
        <w:autoSpaceDE w:val="false"/>
        <w:rPr>
          <w:rFonts w:ascii="Arial" w:hAnsi="Arial" w:cs="Arial"/>
        </w:rPr>
      </w:pPr>
      <w:r>
        <w:rPr>
          <w:rFonts w:cs="Arial" w:ascii="Arial" w:hAnsi="Arial"/>
        </w:rPr>
      </w:r>
    </w:p>
    <w:p>
      <w:pPr>
        <w:pStyle w:val="Normal"/>
        <w:autoSpaceDE w:val="false"/>
        <w:rPr>
          <w:rFonts w:ascii="Arial" w:hAnsi="Arial" w:cs="Arial"/>
        </w:rPr>
      </w:pPr>
      <w:r>
        <w:rPr>
          <w:rFonts w:cs="Arial" w:ascii="Arial" w:hAnsi="Arial"/>
        </w:rPr>
        <w:t>Enron Corp.</w:t>
      </w:r>
    </w:p>
    <w:p>
      <w:pPr>
        <w:pStyle w:val="Normal"/>
        <w:autoSpaceDE w:val="false"/>
        <w:rPr>
          <w:rFonts w:ascii="Arial" w:hAnsi="Arial" w:cs="Arial"/>
        </w:rPr>
      </w:pPr>
      <w:r>
        <w:rPr>
          <w:rFonts w:cs="Arial" w:ascii="Arial" w:hAnsi="Arial"/>
        </w:rPr>
        <w:t>Executive Compensation</w:t>
      </w:r>
    </w:p>
    <w:p>
      <w:pPr>
        <w:pStyle w:val="Normal"/>
        <w:autoSpaceDE w:val="false"/>
        <w:rPr>
          <w:rFonts w:ascii="Arial" w:hAnsi="Arial" w:cs="Arial"/>
        </w:rPr>
      </w:pPr>
      <w:r>
        <w:rPr>
          <w:rFonts w:cs="Arial" w:ascii="Arial" w:hAnsi="Arial"/>
        </w:rPr>
        <w:t>C/o Deferral Plan Administration</w:t>
      </w:r>
    </w:p>
    <w:p>
      <w:pPr>
        <w:pStyle w:val="Normal"/>
        <w:autoSpaceDE w:val="false"/>
        <w:rPr>
          <w:rFonts w:ascii="Arial" w:hAnsi="Arial" w:cs="Arial"/>
        </w:rPr>
      </w:pPr>
      <w:r>
        <w:rPr>
          <w:rFonts w:cs="Arial" w:ascii="Arial" w:hAnsi="Arial"/>
        </w:rPr>
        <w:t>P. O. Box 1188</w:t>
      </w:r>
    </w:p>
    <w:p>
      <w:pPr>
        <w:pStyle w:val="Normal"/>
        <w:autoSpaceDE w:val="false"/>
        <w:rPr>
          <w:rFonts w:ascii="Arial" w:hAnsi="Arial" w:cs="Arial"/>
        </w:rPr>
      </w:pPr>
      <w:r>
        <w:rPr>
          <w:rFonts w:cs="Arial" w:ascii="Arial" w:hAnsi="Arial"/>
        </w:rPr>
        <w:t>Houston, Texas  77251-1188</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You may send messages by email to:  Executive.compensation@enron.com</w:t>
      </w:r>
    </w:p>
    <w:p>
      <w:pPr>
        <w:pStyle w:val="Normal"/>
        <w:rPr>
          <w:rFonts w:ascii="Arial" w:hAnsi="Arial" w:cs="Arial"/>
        </w:rPr>
      </w:pPr>
      <w:r>
        <w:rPr>
          <w:rFonts w:cs="Arial" w:ascii="Arial" w:hAnsi="Arial"/>
        </w:rPr>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NY2:\1104066\01\NNW$01!.DOC\43889.0003</w:t>
    </w:r>
    <w:r>
      <w:rPr>
        <w:rStyle w:val="TrailerWGM"/>
      </w:rPr>
      <w:fldChar w:fldCharType="end"/>
    </w:r>
    <w:r>
      <w:rPr>
        <w:rFonts w:eastAsia="Arial Unicode MS"/>
      </w:rPr>
      <w:t xml:space="preserve"> </w:t>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NY2:\1104066\01\NNW$01!.DOC\43889.0003</w:t>
    </w:r>
    <w:r>
      <w:rPr>
        <w:rStyle w:val="TrailerWGM"/>
      </w:rPr>
      <w:fldChar w:fldCharType="end"/>
    </w:r>
    <w:r>
      <w:rPr>
        <w:rFonts w:eastAsia="Arial Unicode M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Unicode MS" w:hAnsi="Arial Unicode MS" w:eastAsia="Times New Roman" w:cs="Arial Unicode MS"/>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rFonts w:ascii="Times New Roman" w:hAnsi="Times New Roman" w:cs="Times New Roman"/>
      <w:sz w:val="20"/>
    </w:rPr>
  </w:style>
  <w:style w:type="character" w:styleId="TrailerWGM">
    <w:name w:val="Trailer WGM"/>
    <w:basedOn w:val="DefaultParagraphFont"/>
    <w:qFormat/>
    <w:rPr>
      <w:caps/>
      <w:sz w:val="1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ysb.uscourts.gov./pdf/proofofclaimnew.pdf"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2001-12-07T15:34:00Z</dcterms:created>
  <dc:creator>pbutler</dc:creator>
  <dc:description/>
  <cp:keywords>DocsOpen Name: #1104066 v1 - Enron - Deferral Plan Cover Letter</cp:keywords>
  <dc:language>en-CA</dc:language>
  <cp:lastModifiedBy>pbutler</cp:lastModifiedBy>
  <cp:lastPrinted>2001-12-06T16:09:00Z</cp:lastPrinted>
  <dcterms:modified xsi:type="dcterms:W3CDTF">2001-12-07T16:12:00Z</dcterms:modified>
  <cp:revision>3</cp:revision>
  <dc:subject>DocsOpen Loc:G:\DATA\NY2\CLARKA\MISC\NNW$01!.DOC</dc:subject>
  <dc:title>Local: C:\windows\TEMP\DeferralPlanLetterb(revised).doc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NY2:\1104066\01\NNW$01!.DOC\43889.0003</vt:lpwstr>
  </property>
</Properties>
</file>