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3.xml" ContentType="application/vnd.openxmlformats-officedocument.wordprocessingml.footer+xml"/>
  <Override PartName="/word/footer24.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jc w:val="end"/>
        <w:rPr>
          <w:sz w:val="20"/>
        </w:rPr>
      </w:pPr>
      <w:r>
        <w:rPr>
          <w:sz w:val="20"/>
        </w:rPr>
        <w:t>“</w:t>
      </w:r>
      <w:r>
        <w:rPr>
          <w:sz w:val="20"/>
        </w:rPr>
        <w:t>DEEMED ISDA” CONFIRMATION</w:t>
      </w:r>
    </w:p>
    <w:p>
      <w:pPr>
        <w:pStyle w:val="Normal"/>
        <w:jc w:val="end"/>
        <w:rPr>
          <w:b/>
        </w:rPr>
      </w:pPr>
      <w:r>
        <w:rPr>
          <w:b/>
        </w:rPr>
        <w:t>DRAFT OF 08/22/00</w:t>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_________________, 200_</w:t>
      </w:r>
    </w:p>
    <w:p>
      <w:pPr>
        <w:pStyle w:val="Normal"/>
        <w:rPr/>
      </w:pPr>
      <w:r>
        <w:rPr/>
      </w:r>
    </w:p>
    <w:p>
      <w:pPr>
        <w:pStyle w:val="Index1"/>
        <w:rPr>
          <w:rFonts w:ascii="Times New Roman" w:hAnsi="Times New Roman" w:cs="Times New Roman"/>
        </w:rPr>
      </w:pPr>
      <w:r>
        <w:rPr>
          <w:rFonts w:cs="Times New Roman" w:ascii="Times New Roman" w:hAnsi="Times New Roman"/>
        </w:rPr>
        <w:t>________________</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w:t>
      </w:r>
      <w:r>
        <w:rPr>
          <w:color w:val="FF0000"/>
        </w:rPr>
        <w:t>[</w:t>
      </w:r>
      <w:r>
        <w:rPr/>
        <w:t>__________________</w:t>
      </w:r>
      <w:r>
        <w:rPr>
          <w:color w:val="FF0000"/>
        </w:rPr>
        <w:t>]</w:t>
      </w:r>
      <w:r>
        <w:rPr/>
        <w:t xml:space="preserve"> (“Counterparty”) and Enron North America Corp. (“ENA”) on ____________, 200__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200__ between ___________ of ENA and ____________ of Counterparty.</w:t>
      </w:r>
    </w:p>
    <w:p>
      <w:pPr>
        <w:pStyle w:val="Normal"/>
        <w:jc w:val="both"/>
        <w:rPr/>
      </w:pPr>
      <w:r>
        <w:rPr/>
      </w:r>
    </w:p>
    <w:p>
      <w:pPr>
        <w:pStyle w:val="BodyText"/>
        <w:rPr>
          <w:color w:val="FF0000"/>
        </w:rPr>
      </w:pPr>
      <w:r>
        <w:rPr>
          <w:color w:val="FF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r>
        <w:rPr>
          <w:rStyle w:val="FootnoteCharacters"/>
          <w:rStyle w:val="FootnoteReference"/>
          <w:color w:val="FF0000"/>
          <w:sz w:val="20"/>
        </w:rPr>
        <w:footnoteReference w:id="2"/>
      </w:r>
    </w:p>
    <w:p>
      <w:pPr>
        <w:pStyle w:val="Normal"/>
        <w:jc w:val="both"/>
        <w:rPr>
          <w:color w:val="FF0000"/>
        </w:rPr>
      </w:pPr>
      <w:r>
        <w:rPr>
          <w:color w:val="FF0000"/>
        </w:rPr>
      </w:r>
    </w:p>
    <w:p>
      <w:pPr>
        <w:pStyle w:val="BodyText2"/>
        <w:rPr>
          <w:color w:val="FF0000"/>
        </w:rPr>
      </w:pPr>
      <w:r>
        <w:rPr>
          <w:color w:val="FF0000"/>
        </w:rPr>
        <w:t>[1.</w:t>
        <w:tab/>
        <w:t>The definitions and provisions contained in the 1991 ISDA Definitions (as supplemented by the 1998 Supplement) (the “Definitions”), as published by the International Swaps &amp; Derivatives Association, Inc. (“ISDA”), are incorporated into this Confirmation.  In the event of any inconsistency between the Definitions and this Confirmation, this Confirmation will prevail.]</w:t>
      </w:r>
      <w:r>
        <w:rPr>
          <w:rStyle w:val="FootnoteCharacters"/>
          <w:rStyle w:val="FootnoteReference"/>
          <w:color w:val="FF0000"/>
          <w:sz w:val="20"/>
        </w:rPr>
        <w:footnoteReference w:id="3"/>
      </w:r>
    </w:p>
    <w:p>
      <w:pPr>
        <w:pStyle w:val="Normal"/>
        <w:jc w:val="both"/>
        <w:rPr>
          <w:color w:val="FF0000"/>
        </w:rPr>
      </w:pPr>
      <w:r>
        <w:rPr>
          <w:color w:val="FF0000"/>
        </w:rPr>
      </w:r>
    </w:p>
    <w:p>
      <w:pPr>
        <w:pStyle w:val="Normal"/>
        <w:jc w:val="both"/>
        <w:rPr>
          <w:color w:val="FF0000"/>
        </w:rPr>
      </w:pPr>
      <w:r>
        <w:rPr>
          <w:color w:val="FF0000"/>
        </w:rPr>
        <w:t>[1.</w:t>
        <w:tab/>
        <w:t>The definitions and provisions contained in the 1998 FX and Currency Option Definitions (the “Definitions”), as published by the International Swaps &amp; Derivatives Association, Inc. (“ISDA”), the Emerging Markets Traders Association and The Foreign Exchange Committee are incorporated into this Confirmation.  In the event of any inconsistency between the Definitions and this Confirmation, this Confirmation will prevail.]</w:t>
      </w:r>
      <w:r>
        <w:rPr>
          <w:rStyle w:val="FootnoteCharacters"/>
          <w:rStyle w:val="FootnoteReference"/>
          <w:color w:val="FF0000"/>
          <w:sz w:val="20"/>
        </w:rPr>
        <w:footnoteReference w:id="4"/>
      </w:r>
    </w:p>
    <w:p>
      <w:pPr>
        <w:pStyle w:val="Normal"/>
        <w:jc w:val="both"/>
        <w:rPr>
          <w:color w:val="FF0000"/>
        </w:rPr>
      </w:pPr>
      <w:r>
        <w:rPr>
          <w:color w:val="FF0000"/>
        </w:rPr>
      </w:r>
    </w:p>
    <w:p>
      <w:pPr>
        <w:pStyle w:val="Normal"/>
        <w:jc w:val="both"/>
        <w:rPr/>
      </w:pPr>
      <w:r>
        <w:rPr>
          <w:color w:val="FF0000"/>
        </w:rPr>
        <w:t>[1.</w:t>
        <w:tab/>
        <w:t>The definitions and provisions contained in the 1996 Equity Derivative Definitions (the “Definitions”), as published by the International Swaps &amp; Derivatives Association, Inc. (“ISDA”) are incorporated into this Confirmation.  In the event of any inconsistency between the Definitions and this Confirmation, this Confirmation will prevail.]</w:t>
      </w:r>
      <w:r>
        <w:rPr>
          <w:rStyle w:val="FootnoteCharacters"/>
          <w:rStyle w:val="FootnoteReference"/>
          <w:color w:val="FF0000"/>
          <w:sz w:val="20"/>
        </w:rPr>
        <w:footnoteReference w:id="5"/>
      </w:r>
    </w:p>
    <w:p>
      <w:pPr>
        <w:pStyle w:val="Normal"/>
        <w:jc w:val="both"/>
        <w:rPr/>
      </w:pPr>
      <w:r>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w:t>
      </w:r>
      <w:r>
        <w:rPr>
          <w:color w:val="FF0000"/>
        </w:rPr>
        <w:t>[</w:t>
      </w:r>
      <w:r>
        <w:rPr/>
        <w:t xml:space="preserve"> it constitutes an “eligible swap participant” as such term is defined in  17 C.F.R. Section 35.1(b)(2) and this Confirmation constitutes a “swap agreement” within the meaning of 17 C.F.R. Section 35.1(b)(1);</w:t>
      </w:r>
      <w:r>
        <w:rPr>
          <w:color w:val="FF0000"/>
        </w:rPr>
        <w:t>]</w:t>
      </w:r>
      <w:r>
        <w:rPr>
          <w:rStyle w:val="FootnoteCharacters"/>
          <w:rStyle w:val="FootnoteReference"/>
          <w:color w:val="FF0000"/>
        </w:rPr>
        <w:footnoteReference w:id="6"/>
      </w:r>
      <w:r>
        <w:rPr>
          <w:color w:val="3366FF"/>
        </w:rPr>
        <w:t>[it is a corporation, partnership, proprietorship, organization, trust or other entity not created solely to engage in swap transactions and has (i) total assets exceeding $10,000,000, or (ii) a net worth of $1,000,000</w:t>
      </w:r>
      <w:r>
        <w:rPr/>
        <w:t>;</w:t>
      </w:r>
      <w:r>
        <w:rPr>
          <w:color w:val="3366FF"/>
        </w:rPr>
        <w:t>]</w:t>
      </w:r>
      <w:r>
        <w:rPr>
          <w:rStyle w:val="FootnoteCharacters"/>
          <w:rStyle w:val="FootnoteReference"/>
          <w:color w:val="3366FF"/>
        </w:rPr>
        <w:footnoteReference w:id="7"/>
      </w:r>
      <w:r>
        <w:rPr/>
        <w:t xml:space="preserve"> and (c) </w:t>
      </w:r>
      <w:r>
        <w:rPr>
          <w:u w:val="single"/>
        </w:rPr>
        <w:t>Line of Business</w:t>
      </w:r>
      <w:r>
        <w:rPr/>
        <w:t xml:space="preserve">:  </w:t>
      </w:r>
      <w:r>
        <w:rPr>
          <w:color w:val="FF0000"/>
        </w:rPr>
        <w:t>[(i)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w:t>
      </w:r>
      <w:r>
        <w:rPr>
          <w:rStyle w:val="FootnoteCharacters"/>
          <w:rStyle w:val="FootnoteReference"/>
          <w:color w:val="FF0000"/>
          <w:sz w:val="20"/>
        </w:rPr>
        <w:footnoteReference w:id="8"/>
      </w:r>
      <w:r>
        <w:rPr>
          <w:color w:val="FF0000"/>
        </w:rPr>
        <w:t>[or [as of the Trade Date it is:  (i) exposed in the conduct of its business to the risk of variations in weather of the kind reflected in this Transaction and (ii) entering into this Transaction solely to offset or manage that risk;]</w:t>
      </w:r>
      <w:r>
        <w:rPr>
          <w:rStyle w:val="FootnoteCharacters"/>
          <w:rStyle w:val="FootnoteReference"/>
          <w:color w:val="FF0000"/>
          <w:sz w:val="20"/>
        </w:rPr>
        <w:footnoteReference w:id="9"/>
      </w:r>
      <w:r>
        <w:rPr>
          <w:color w:val="FF0000"/>
        </w:rPr>
        <w:t>]</w:t>
      </w:r>
      <w:r>
        <w:rPr>
          <w:rStyle w:val="FootnoteCharacters"/>
          <w:rStyle w:val="FootnoteReference"/>
          <w:color w:val="FF0000"/>
          <w:sz w:val="20"/>
        </w:rPr>
        <w:footnoteReference w:id="10"/>
      </w:r>
      <w:r>
        <w:rPr/>
        <w:t xml:space="preserve">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w:t>
      </w:r>
      <w:r>
        <w:rPr>
          <w:color w:val="800080"/>
        </w:rPr>
        <w:t xml:space="preserve">[(e) </w:t>
      </w:r>
      <w:r>
        <w:rPr>
          <w:color w:val="800080"/>
          <w:u w:val="single"/>
        </w:rPr>
        <w:t>Canadian Securities Acts</w:t>
      </w:r>
      <w:r>
        <w:rPr>
          <w:color w:val="800080"/>
        </w:rPr>
        <w:t xml:space="preserve">:  (i) this Transaction shall constitute an “OTC Derivative” as defined in the </w:t>
      </w:r>
      <w:r>
        <w:rPr>
          <w:i/>
          <w:color w:val="800080"/>
        </w:rPr>
        <w:t>Securities Act</w:t>
      </w:r>
      <w:r>
        <w:rPr>
          <w:color w:val="800080"/>
        </w:rPr>
        <w:t xml:space="preserve"> (Alberta) and the </w:t>
      </w:r>
      <w:r>
        <w:rPr>
          <w:i/>
          <w:color w:val="800080"/>
        </w:rPr>
        <w:t>Securities Act</w:t>
      </w:r>
      <w:r>
        <w:rPr>
          <w:color w:val="800080"/>
        </w:rPr>
        <w:t xml:space="preserve"> (British Columbia) which have application to this Transaction and (ii) it is a “Qualified Party” within the meaning of paragraph 9.1 of Alberta Securities Commission Order Doc.#394043 and paragraph 1.1 of the draft British Columbia Securities Commission Blanket Order BOR#91-501, as in effect on the date hereof]</w:t>
      </w:r>
      <w:r>
        <w:rPr>
          <w:rStyle w:val="FootnoteCharacters"/>
          <w:rStyle w:val="FootnoteReference"/>
          <w:color w:val="800080"/>
          <w:sz w:val="20"/>
        </w:rPr>
        <w:footnoteReference w:id="11"/>
      </w:r>
      <w:r>
        <w:rPr>
          <w:color w:val="000000"/>
        </w:rPr>
        <w:t>; and</w:t>
      </w:r>
      <w:r>
        <w:rPr/>
        <w:t xml:space="preserve"> (f)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color w:val="0000FF"/>
        </w:rPr>
      </w:pPr>
      <w:r>
        <w:rPr>
          <w:color w:val="0000FF"/>
        </w:rPr>
        <w:t>[__.</w:t>
        <w:tab/>
      </w:r>
      <w:r>
        <w:rPr>
          <w:b/>
          <w:color w:val="0000FF"/>
          <w:u w:val="single"/>
        </w:rPr>
        <w:t>Automatic Early Termination</w:t>
      </w:r>
      <w:r>
        <w:rPr>
          <w:b/>
          <w:color w:val="0000FF"/>
        </w:rPr>
        <w:t xml:space="preserve">.  </w:t>
      </w:r>
      <w:r>
        <w:rPr>
          <w:color w:val="0000FF"/>
        </w:rPr>
        <w:t>For purposes of Section 6(a) of the ISDA Agreement, “Automatic Early Termination” shall apply to ENA and Counterparty.]</w:t>
      </w:r>
      <w:r>
        <w:rPr>
          <w:rStyle w:val="FootnoteCharacters"/>
          <w:rStyle w:val="FootnoteReference"/>
          <w:color w:val="0000FF"/>
          <w:sz w:val="20"/>
        </w:rPr>
        <w:footnoteReference w:id="12"/>
      </w:r>
    </w:p>
    <w:p>
      <w:pPr>
        <w:pStyle w:val="Normal"/>
        <w:jc w:val="both"/>
        <w:rPr>
          <w:color w:val="FF0000"/>
        </w:rPr>
      </w:pPr>
      <w:r>
        <w:rPr>
          <w:color w:val="FF0000"/>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color w:val="0000FF"/>
        </w:rPr>
      </w:pPr>
      <w:r>
        <w:rPr>
          <w:color w:val="0000FF"/>
        </w:rPr>
        <w:t>[__.</w:t>
        <w:tab/>
      </w:r>
      <w:r>
        <w:rPr>
          <w:b/>
          <w:color w:val="0000FF"/>
          <w:u w:val="single"/>
        </w:rPr>
        <w:t>Place of Payments</w:t>
      </w:r>
      <w:r>
        <w:rPr>
          <w:b/>
          <w:color w:val="0000FF"/>
        </w:rPr>
        <w:t>.</w:t>
      </w:r>
      <w:r>
        <w:rPr>
          <w:color w:val="0000FF"/>
        </w:rPr>
        <w:t xml:space="preserve">  For the avoidance of doubt, any payments to be made between ENA and Counterparty in connection with this Transaction shall be made through bank accounts located in the United States.]</w:t>
      </w:r>
      <w:r>
        <w:rPr>
          <w:rStyle w:val="FootnoteCharacters"/>
          <w:rStyle w:val="FootnoteReference"/>
          <w:color w:val="0000FF"/>
          <w:sz w:val="20"/>
        </w:rPr>
        <w:footnoteReference w:id="13"/>
      </w:r>
    </w:p>
    <w:p>
      <w:pPr>
        <w:pStyle w:val="Normal"/>
        <w:jc w:val="both"/>
        <w:rPr>
          <w:color w:val="FF0000"/>
        </w:rPr>
      </w:pPr>
      <w:r>
        <w:rPr>
          <w:color w:val="FF0000"/>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w:t>
      </w:r>
      <w:r>
        <w:rPr>
          <w:color w:val="FF0000"/>
        </w:rPr>
        <w:t>[New York]</w:t>
      </w:r>
      <w:r>
        <w:rPr>
          <w:rStyle w:val="FootnoteCharacters"/>
          <w:rStyle w:val="FootnoteReference"/>
          <w:color w:val="FF0000"/>
          <w:sz w:val="20"/>
        </w:rPr>
        <w:footnoteReference w:id="14"/>
      </w:r>
      <w:r>
        <w:rPr>
          <w:color w:val="FF0000"/>
        </w:rPr>
        <w:t>[Texas]</w:t>
      </w:r>
      <w:r>
        <w:rPr/>
        <w:t xml:space="preserve">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w:t>
      </w:r>
      <w:r>
        <w:rPr>
          <w:color w:val="0000FF"/>
        </w:rPr>
        <w:t>[proceedings]</w:t>
      </w:r>
      <w:r>
        <w:rPr>
          <w:rStyle w:val="FootnoteCharacters"/>
          <w:rStyle w:val="FootnoteReference"/>
          <w:color w:val="0000FF"/>
          <w:sz w:val="20"/>
        </w:rPr>
        <w:footnoteReference w:id="15"/>
      </w:r>
      <w:r>
        <w:rPr>
          <w:color w:val="FF0000"/>
        </w:rPr>
        <w:t xml:space="preserve"> </w:t>
      </w:r>
      <w:r>
        <w:rPr/>
        <w:t xml:space="preserve">shall be conducted </w:t>
      </w:r>
      <w:r>
        <w:rPr>
          <w:color w:val="0000FF"/>
        </w:rPr>
        <w:t>[in English]</w:t>
      </w:r>
      <w:r>
        <w:rPr>
          <w:rStyle w:val="FootnoteCharacters"/>
          <w:rStyle w:val="FootnoteReference"/>
          <w:color w:val="0000FF"/>
          <w:sz w:val="20"/>
        </w:rPr>
        <w:footnoteReference w:id="16"/>
      </w:r>
      <w:r>
        <w:rPr>
          <w:color w:val="FF0000"/>
        </w:rPr>
        <w:t xml:space="preserve"> </w:t>
      </w:r>
      <w:r>
        <w:rPr/>
        <w:t xml:space="preserve">in </w:t>
      </w:r>
      <w:r>
        <w:rPr>
          <w:color w:val="FF0000"/>
        </w:rPr>
        <w:t>[New York City, New York]</w:t>
      </w:r>
      <w:r>
        <w:rPr>
          <w:rStyle w:val="FootnoteCharacters"/>
          <w:rStyle w:val="FootnoteReference"/>
          <w:color w:val="FF0000"/>
          <w:sz w:val="20"/>
        </w:rPr>
        <w:footnoteReference w:id="17"/>
      </w:r>
      <w:r>
        <w:rPr>
          <w:color w:val="FF0000"/>
        </w:rPr>
        <w:t>[Houston, Texas]</w:t>
      </w:r>
      <w:r>
        <w:rPr/>
        <w:t>,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color w:val="FF0000"/>
        </w:rPr>
        <w:t>[__.</w:t>
        <w:tab/>
      </w:r>
      <w:r>
        <w:rPr>
          <w:b/>
          <w:color w:val="FF0000"/>
          <w:u w:val="single"/>
        </w:rPr>
        <w:t>Miscellaneous</w:t>
      </w:r>
      <w:r>
        <w:rPr>
          <w:b/>
          <w:color w:val="FF0000"/>
        </w:rPr>
        <w:t>.</w:t>
      </w:r>
    </w:p>
    <w:p>
      <w:pPr>
        <w:pStyle w:val="Normal"/>
        <w:jc w:val="both"/>
        <w:rPr>
          <w:b/>
          <w:color w:val="FF0000"/>
          <w:u w:val="single"/>
        </w:rPr>
      </w:pPr>
      <w:r>
        <w:rPr>
          <w:b/>
          <w:color w:val="FF0000"/>
          <w:u w:val="single"/>
        </w:rPr>
      </w:r>
    </w:p>
    <w:p>
      <w:pPr>
        <w:pStyle w:val="Normal"/>
        <w:jc w:val="both"/>
        <w:rPr/>
      </w:pPr>
      <w:r>
        <w:rPr>
          <w:color w:val="FF0000"/>
        </w:rPr>
        <w:t>a)</w:t>
      </w:r>
      <w:r>
        <w:rPr>
          <w:b/>
          <w:color w:val="FF0000"/>
        </w:rPr>
        <w:t xml:space="preserve"> </w:t>
      </w:r>
      <w:r>
        <w:rPr>
          <w:b/>
          <w:color w:val="FF0000"/>
          <w:u w:val="single"/>
        </w:rPr>
        <w:t>Additional Representations.</w:t>
      </w:r>
      <w:r>
        <w:rPr>
          <w:color w:val="FF000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7"/>
        </w:numPr>
        <w:jc w:val="both"/>
        <w:rPr>
          <w:color w:val="FF0000"/>
        </w:rPr>
      </w:pPr>
      <w:r>
        <w:rPr>
          <w:color w:val="FF0000"/>
        </w:rPr>
        <w:t xml:space="preserve">entering into this Confirmation and the Transaction hereunder do not violate any legal investment laws directly or indirectly applicable to Counterparty; </w:t>
      </w:r>
    </w:p>
    <w:p>
      <w:pPr>
        <w:pStyle w:val="Normal"/>
        <w:numPr>
          <w:ilvl w:val="0"/>
          <w:numId w:val="7"/>
        </w:numPr>
        <w:jc w:val="both"/>
        <w:rPr>
          <w:color w:val="FF0000"/>
        </w:rPr>
      </w:pPr>
      <w:r>
        <w:rPr>
          <w:color w:val="FF0000"/>
        </w:rPr>
        <w:t>entering into this Confirmation and the Transaction hereunder is consistent with Counterparty’s investment guidelines, including any derivatives policy;</w:t>
      </w:r>
    </w:p>
    <w:p>
      <w:pPr>
        <w:pStyle w:val="Normal"/>
        <w:numPr>
          <w:ilvl w:val="0"/>
          <w:numId w:val="7"/>
        </w:numPr>
        <w:jc w:val="both"/>
        <w:rPr>
          <w:color w:val="FF0000"/>
        </w:rPr>
      </w:pPr>
      <w:r>
        <w:rPr>
          <w:color w:val="FF0000"/>
        </w:rPr>
        <w:t>it has taken all requisite actions to comply with any [state insurance]</w:t>
      </w:r>
      <w:r>
        <w:rPr>
          <w:rStyle w:val="FootnoteCharacters"/>
          <w:rStyle w:val="FootnoteReference"/>
          <w:color w:val="FF0000"/>
          <w:sz w:val="20"/>
        </w:rPr>
        <w:footnoteReference w:id="18"/>
      </w:r>
      <w:r>
        <w:rPr>
          <w:color w:val="FF0000"/>
        </w:rPr>
        <w:t xml:space="preserve"> laws, regulations and rules applicable to such derivatives transactions; and </w:t>
      </w:r>
    </w:p>
    <w:p>
      <w:pPr>
        <w:pStyle w:val="Normal"/>
        <w:numPr>
          <w:ilvl w:val="0"/>
          <w:numId w:val="7"/>
        </w:numPr>
        <w:jc w:val="both"/>
        <w:rPr>
          <w:color w:val="FF0000"/>
        </w:rPr>
      </w:pPr>
      <w:r>
        <w:rPr>
          <w:color w:val="FF0000"/>
        </w:rPr>
        <w:t xml:space="preserve">this Confirmation and the Transaction hereunder have been and will be entered into not for the purpose of speculation but solely in connection with the financing activities of Counterparty. </w:t>
      </w:r>
    </w:p>
    <w:p>
      <w:pPr>
        <w:pStyle w:val="Normal"/>
        <w:rPr>
          <w:color w:val="FF0000"/>
        </w:rPr>
      </w:pPr>
      <w:r>
        <w:rPr>
          <w:color w:val="FF0000"/>
        </w:rPr>
      </w:r>
    </w:p>
    <w:p>
      <w:pPr>
        <w:pStyle w:val="Normal"/>
        <w:rPr/>
      </w:pPr>
      <w:r>
        <w:rPr>
          <w:color w:val="FF0000"/>
        </w:rPr>
        <w:t xml:space="preserve">b) </w:t>
      </w:r>
      <w:r>
        <w:rPr>
          <w:b/>
          <w:color w:val="FF0000"/>
          <w:u w:val="single"/>
        </w:rPr>
        <w:t>Legal Opinion.</w:t>
      </w:r>
      <w:r>
        <w:rPr>
          <w:color w:val="FF000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color w:val="FF0000"/>
        </w:rPr>
        <w:t>c)</w:t>
      </w:r>
      <w:r>
        <w:rPr>
          <w:b/>
          <w:color w:val="FF0000"/>
        </w:rPr>
        <w:t xml:space="preserve"> </w:t>
      </w:r>
      <w:r>
        <w:rPr>
          <w:b/>
          <w:color w:val="FF0000"/>
          <w:u w:val="single"/>
        </w:rPr>
        <w:t>Authorization.</w:t>
      </w:r>
      <w:r>
        <w:rPr>
          <w:color w:val="FF000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r>
        <w:rPr>
          <w:rStyle w:val="FootnoteCharacters"/>
          <w:rStyle w:val="FootnoteReference"/>
          <w:color w:val="FF0000"/>
          <w:sz w:val="20"/>
        </w:rPr>
        <w:footnoteReference w:id="19"/>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jc w:val="both"/>
        <w:rPr/>
      </w:pPr>
      <w:r>
        <w:rPr>
          <w:color w:val="0000FF"/>
        </w:rPr>
        <w:t>[__.</w:t>
        <w:tab/>
      </w:r>
      <w:r>
        <w:rPr>
          <w:b/>
          <w:color w:val="0000FF"/>
          <w:u w:val="single"/>
        </w:rPr>
        <w:t>Miscellaneous</w:t>
      </w:r>
      <w:r>
        <w:rPr>
          <w:b/>
          <w:color w:val="0000FF"/>
        </w:rPr>
        <w:t>.</w:t>
      </w:r>
    </w:p>
    <w:p>
      <w:pPr>
        <w:pStyle w:val="Normal"/>
        <w:jc w:val="both"/>
        <w:rPr>
          <w:b/>
          <w:color w:val="0000FF"/>
          <w:u w:val="single"/>
        </w:rPr>
      </w:pPr>
      <w:r>
        <w:rPr>
          <w:b/>
          <w:color w:val="0000FF"/>
          <w:u w:val="single"/>
        </w:rPr>
      </w:r>
    </w:p>
    <w:p>
      <w:pPr>
        <w:pStyle w:val="Normal"/>
        <w:jc w:val="both"/>
        <w:rPr/>
      </w:pPr>
      <w:r>
        <w:rPr>
          <w:color w:val="0000FF"/>
        </w:rPr>
        <w:t>a)</w:t>
      </w:r>
      <w:r>
        <w:rPr>
          <w:b/>
          <w:color w:val="0000FF"/>
        </w:rPr>
        <w:t xml:space="preserve"> </w:t>
      </w:r>
      <w:r>
        <w:rPr>
          <w:b/>
          <w:color w:val="0000FF"/>
          <w:u w:val="single"/>
        </w:rPr>
        <w:t>Additional Representations.</w:t>
      </w:r>
      <w:r>
        <w:rPr>
          <w:color w:val="0000FF"/>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color w:val="0000FF"/>
        </w:rPr>
        <w:t>(g)</w:t>
        <w:tab/>
      </w:r>
      <w:r>
        <w:rPr>
          <w:b/>
          <w:color w:val="0000FF"/>
        </w:rPr>
        <w:t>ENA.</w:t>
      </w:r>
      <w:r>
        <w:rPr>
          <w:color w:val="0000FF"/>
        </w:rPr>
        <w:t xml:space="preserve">  ENA hereby represents and warrants to Counterparty that:</w:t>
      </w:r>
    </w:p>
    <w:p>
      <w:pPr>
        <w:pStyle w:val="BodyTextIndent3"/>
        <w:numPr>
          <w:ilvl w:val="0"/>
          <w:numId w:val="5"/>
        </w:numPr>
        <w:spacing w:lineRule="auto" w:line="240" w:before="240" w:after="0"/>
        <w:rPr>
          <w:color w:val="0000FF"/>
          <w:sz w:val="20"/>
        </w:rPr>
      </w:pPr>
      <w:r>
        <w:rPr>
          <w:color w:val="0000FF"/>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color w:val="0000FF"/>
          <w:sz w:val="20"/>
        </w:rPr>
      </w:pPr>
      <w:r>
        <w:rPr>
          <w:rFonts w:cs="Times New Roman" w:ascii="Times New Roman" w:hAnsi="Times New Roman"/>
          <w:color w:val="0000FF"/>
          <w:sz w:val="20"/>
        </w:rPr>
      </w:r>
    </w:p>
    <w:p>
      <w:pPr>
        <w:pStyle w:val="Heading2"/>
        <w:numPr>
          <w:ilvl w:val="0"/>
          <w:numId w:val="5"/>
        </w:numPr>
        <w:spacing w:before="0" w:after="0"/>
        <w:rPr>
          <w:rFonts w:ascii="Times New Roman" w:hAnsi="Times New Roman" w:cs="Times New Roman"/>
          <w:color w:val="0000FF"/>
        </w:rPr>
      </w:pPr>
      <w:r>
        <w:rPr>
          <w:rFonts w:cs="Times New Roman" w:ascii="Times New Roman" w:hAnsi="Times New Roman"/>
          <w:color w:val="0000FF"/>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5"/>
        </w:numPr>
        <w:spacing w:before="0" w:after="0"/>
        <w:rPr>
          <w:rFonts w:ascii="Times New Roman" w:hAnsi="Times New Roman" w:cs="Times New Roman"/>
          <w:color w:val="0000FF"/>
        </w:rPr>
      </w:pPr>
      <w:r>
        <w:rPr>
          <w:rFonts w:cs="Times New Roman" w:ascii="Times New Roman" w:hAnsi="Times New Roman"/>
          <w:color w:val="0000FF"/>
        </w:rPr>
        <w:t>It is legally and financially capable to undertake all of the obligations set forth herein.</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10"/>
        </w:numPr>
        <w:spacing w:before="0" w:after="0"/>
        <w:rPr>
          <w:rFonts w:ascii="Times New Roman" w:hAnsi="Times New Roman" w:cs="Times New Roman"/>
          <w:color w:val="0000FF"/>
        </w:rPr>
      </w:pPr>
      <w:r>
        <w:rPr>
          <w:rFonts w:cs="Times New Roman" w:ascii="Times New Roman" w:hAnsi="Times New Roman"/>
          <w:color w:val="0000FF"/>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10"/>
        </w:numPr>
        <w:spacing w:before="0" w:after="0"/>
        <w:rPr>
          <w:rFonts w:ascii="Times New Roman" w:hAnsi="Times New Roman" w:cs="Times New Roman"/>
          <w:color w:val="0000FF"/>
        </w:rPr>
      </w:pPr>
      <w:r>
        <w:rPr>
          <w:rFonts w:cs="Times New Roman" w:ascii="Times New Roman" w:hAnsi="Times New Roman"/>
          <w:color w:val="0000FF"/>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spacing w:before="0" w:after="0"/>
        <w:rPr/>
      </w:pPr>
      <w:r>
        <w:rPr>
          <w:rFonts w:cs="Times New Roman" w:ascii="Times New Roman" w:hAnsi="Times New Roman"/>
          <w:b/>
          <w:color w:val="0000FF"/>
        </w:rPr>
        <w:t>Counterparty.</w:t>
      </w:r>
      <w:r>
        <w:rPr>
          <w:rFonts w:cs="Times New Roman" w:ascii="Times New Roman" w:hAnsi="Times New Roman"/>
          <w:color w:val="0000FF"/>
        </w:rPr>
        <w:t xml:space="preserve">  Counterparty hereby represents and warrants to ENA that:</w:t>
      </w:r>
    </w:p>
    <w:p>
      <w:pPr>
        <w:pStyle w:val="Heading2"/>
        <w:spacing w:before="0" w:after="0"/>
        <w:rPr>
          <w:rFonts w:ascii="Times New Roman" w:hAnsi="Times New Roman" w:cs="Times New Roman"/>
          <w:color w:val="0000FF"/>
        </w:rPr>
      </w:pPr>
      <w:r>
        <w:rPr>
          <w:rFonts w:cs="Times New Roman" w:ascii="Times New Roman" w:hAnsi="Times New Roman"/>
          <w:color w:val="0000FF"/>
        </w:rPr>
      </w:r>
    </w:p>
    <w:p>
      <w:pPr>
        <w:pStyle w:val="Heading2"/>
        <w:numPr>
          <w:ilvl w:val="0"/>
          <w:numId w:val="9"/>
        </w:numPr>
        <w:spacing w:before="0" w:after="0"/>
        <w:rPr>
          <w:rFonts w:ascii="Times New Roman" w:hAnsi="Times New Roman" w:cs="Times New Roman"/>
          <w:color w:val="0000FF"/>
        </w:rPr>
      </w:pPr>
      <w:r>
        <w:rPr>
          <w:rFonts w:cs="Times New Roman" w:ascii="Times New Roman" w:hAnsi="Times New Roman"/>
          <w:color w:val="0000FF"/>
        </w:rPr>
        <w:t>It is a Mexican [sociedad anonima de capital variable] [sociedad de responsibilidad limitada] [ _______________ ]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color w:val="0000FF"/>
          <w:u w:val="single"/>
        </w:rPr>
        <w:t>Registro Publico de Comercio de _________</w:t>
      </w:r>
      <w:r>
        <w:rPr>
          <w:rFonts w:cs="Times New Roman" w:ascii="Times New Roman" w:hAnsi="Times New Roman"/>
          <w:color w:val="0000FF"/>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9"/>
        </w:numPr>
        <w:spacing w:before="0" w:after="0"/>
        <w:rPr>
          <w:rFonts w:ascii="Times New Roman" w:hAnsi="Times New Roman" w:cs="Times New Roman"/>
          <w:color w:val="0000FF"/>
        </w:rPr>
      </w:pPr>
      <w:r>
        <w:rPr>
          <w:rFonts w:cs="Times New Roman" w:ascii="Times New Roman" w:hAnsi="Times New Roman"/>
          <w:color w:val="0000FF"/>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3"/>
        </w:numPr>
        <w:spacing w:before="0" w:after="0"/>
        <w:rPr>
          <w:rFonts w:ascii="Times New Roman" w:hAnsi="Times New Roman" w:cs="Times New Roman"/>
          <w:color w:val="0000FF"/>
        </w:rPr>
      </w:pPr>
      <w:r>
        <w:rPr>
          <w:rFonts w:cs="Times New Roman" w:ascii="Times New Roman" w:hAnsi="Times New Roman"/>
          <w:color w:val="0000FF"/>
        </w:rPr>
        <w:t>It is legally and financially capable to undertake all of the obligations set forth herein.</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3"/>
        </w:numPr>
        <w:spacing w:before="0" w:after="0"/>
        <w:rPr>
          <w:rFonts w:ascii="Times New Roman" w:hAnsi="Times New Roman" w:cs="Times New Roman"/>
          <w:color w:val="0000FF"/>
        </w:rPr>
      </w:pPr>
      <w:r>
        <w:rPr>
          <w:rFonts w:cs="Times New Roman" w:ascii="Times New Roman" w:hAnsi="Times New Roman"/>
          <w:color w:val="0000FF"/>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color w:val="0000FF"/>
        </w:rPr>
      </w:pPr>
      <w:r>
        <w:rPr>
          <w:rFonts w:cs="Times New Roman" w:ascii="Times New Roman" w:hAnsi="Times New Roman"/>
          <w:color w:val="0000FF"/>
        </w:rPr>
      </w:r>
    </w:p>
    <w:p>
      <w:pPr>
        <w:pStyle w:val="Heading2"/>
        <w:numPr>
          <w:ilvl w:val="0"/>
          <w:numId w:val="3"/>
        </w:numPr>
        <w:spacing w:before="0" w:after="0"/>
        <w:rPr>
          <w:rFonts w:ascii="Times New Roman" w:hAnsi="Times New Roman" w:cs="Times New Roman"/>
          <w:color w:val="0000FF"/>
        </w:rPr>
      </w:pPr>
      <w:r>
        <w:rPr>
          <w:rFonts w:cs="Times New Roman" w:ascii="Times New Roman" w:hAnsi="Times New Roman"/>
          <w:color w:val="0000FF"/>
        </w:rPr>
        <w:t>All corporate action necessary for the entering into and the execution of this Confirmation has been duly taken.</w:t>
      </w:r>
    </w:p>
    <w:p>
      <w:pPr>
        <w:pStyle w:val="Normal"/>
        <w:jc w:val="both"/>
        <w:rPr>
          <w:rFonts w:ascii="Times New Roman" w:hAnsi="Times New Roman" w:cs="Times New Roman"/>
          <w:color w:val="0000FF"/>
        </w:rPr>
      </w:pPr>
      <w:r>
        <w:rPr>
          <w:rFonts w:cs="Times New Roman"/>
          <w:color w:val="0000FF"/>
        </w:rPr>
      </w:r>
    </w:p>
    <w:p>
      <w:pPr>
        <w:pStyle w:val="Normal"/>
        <w:numPr>
          <w:ilvl w:val="0"/>
          <w:numId w:val="3"/>
        </w:numPr>
        <w:jc w:val="both"/>
        <w:rPr>
          <w:color w:val="0000FF"/>
        </w:rPr>
      </w:pPr>
      <w:r>
        <w:rPr>
          <w:color w:val="0000FF"/>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color w:val="0000FF"/>
        </w:rPr>
      </w:pPr>
      <w:r>
        <w:rPr>
          <w:color w:val="0000FF"/>
        </w:rPr>
      </w:r>
    </w:p>
    <w:p>
      <w:pPr>
        <w:pStyle w:val="Normal"/>
        <w:ind w:start="720" w:end="0"/>
        <w:jc w:val="both"/>
        <w:rPr>
          <w:color w:val="0000FF"/>
        </w:rPr>
      </w:pPr>
      <w:r>
        <w:rPr>
          <w:color w:val="0000FF"/>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color w:val="0000FF"/>
        </w:rPr>
      </w:pPr>
      <w:r>
        <w:rPr>
          <w:color w:val="0000FF"/>
        </w:rPr>
      </w:r>
    </w:p>
    <w:p>
      <w:pPr>
        <w:pStyle w:val="Normal"/>
        <w:rPr/>
      </w:pPr>
      <w:r>
        <w:rPr>
          <w:color w:val="0000FF"/>
        </w:rPr>
        <w:t xml:space="preserve">b) </w:t>
      </w:r>
      <w:r>
        <w:rPr>
          <w:b/>
          <w:color w:val="0000FF"/>
          <w:u w:val="single"/>
        </w:rPr>
        <w:t>Legal Opinion.</w:t>
      </w:r>
      <w:r>
        <w:rPr>
          <w:color w:val="0000FF"/>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0000FF"/>
        </w:rPr>
      </w:pPr>
      <w:r>
        <w:rPr>
          <w:color w:val="0000FF"/>
        </w:rPr>
      </w:r>
    </w:p>
    <w:p>
      <w:pPr>
        <w:pStyle w:val="Heading2"/>
        <w:ind w:hanging="0" w:end="0"/>
        <w:rPr>
          <w:rFonts w:ascii="Times New Roman" w:hAnsi="Times New Roman" w:cs="Times New Roman"/>
        </w:rPr>
      </w:pPr>
      <w:r>
        <w:rPr>
          <w:rFonts w:cs="Times New Roman" w:ascii="Times New Roman" w:hAnsi="Times New Roman"/>
          <w:color w:val="0000FF"/>
        </w:rPr>
        <w:t>c)</w:t>
      </w:r>
      <w:r>
        <w:rPr>
          <w:rFonts w:cs="Times New Roman" w:ascii="Times New Roman" w:hAnsi="Times New Roman"/>
          <w:b/>
          <w:color w:val="0000FF"/>
        </w:rPr>
        <w:t xml:space="preserve"> </w:t>
      </w:r>
      <w:r>
        <w:rPr>
          <w:rFonts w:cs="Times New Roman" w:ascii="Times New Roman" w:hAnsi="Times New Roman"/>
          <w:b/>
          <w:color w:val="0000FF"/>
          <w:u w:val="single"/>
        </w:rPr>
        <w:t>Authorization.</w:t>
      </w:r>
      <w:r>
        <w:rPr>
          <w:rFonts w:cs="Times New Roman" w:ascii="Times New Roman" w:hAnsi="Times New Roman"/>
          <w:color w:val="0000FF"/>
        </w:rPr>
        <w:t xml:space="preserve"> For the purpose of Section 4(a) of the ISDA Agreement, upon execution of this Confirmation, Counterparty agrees to deliver to ENA: (A) a certified resolution of its board of directors or other governing body authorizing this Confirmation and the Transaction contemplated hereby, (B) copies of its articles of incorporation and bylaws (or other constituent documents), and (C) a certified copy of a Power of Attorney authorizing a specified person or persons to execute and deliver on its behalf this Confirmation.]</w:t>
      </w:r>
      <w:r>
        <w:rPr>
          <w:rStyle w:val="FootnoteCharacters"/>
          <w:rStyle w:val="FootnoteReference"/>
          <w:color w:val="0000FF"/>
          <w:sz w:val="20"/>
        </w:rPr>
        <w:footnoteReference w:id="20"/>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keepNext w:val="true"/>
        <w:jc w:val="both"/>
        <w:rPr>
          <w:b/>
          <w:u w:val="single"/>
        </w:rPr>
      </w:pPr>
      <w:r>
        <w:rPr>
          <w:color w:val="FF0000"/>
        </w:rPr>
        <w:t>[</w:t>
      </w:r>
      <w:r>
        <w:rPr/>
        <w:t>13.</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r>
        <w:rPr>
          <w:color w:val="FF0000"/>
        </w:rPr>
        <w:t>]</w:t>
      </w:r>
      <w:r>
        <w:rPr>
          <w:rStyle w:val="FootnoteCharacters"/>
          <w:rStyle w:val="FootnoteReference"/>
          <w:color w:val="FF0000"/>
          <w:sz w:val="20"/>
        </w:rPr>
        <w:footnoteReference w:id="21"/>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color w:val="FF0000"/>
        </w:rPr>
      </w:pPr>
      <w:r>
        <w:rPr>
          <w:b/>
          <w:color w:val="FF0000"/>
        </w:rPr>
        <w:t>[COUNTERPARTY]</w:t>
      </w:r>
    </w:p>
    <w:p>
      <w:pPr>
        <w:pStyle w:val="Normal"/>
        <w:keepNext w:val="true"/>
        <w:rPr>
          <w:color w:val="FF0000"/>
        </w:rPr>
      </w:pPr>
      <w:r>
        <w:rPr>
          <w:color w:val="FF0000"/>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r>
        <w:rPr>
          <w:rStyle w:val="FootnoteCharacters"/>
          <w:rStyle w:val="FootnoteReference"/>
          <w:b/>
          <w:color w:val="FF0000"/>
          <w:sz w:val="20"/>
          <w:u w:val="single"/>
        </w:rPr>
        <w:footnoteReference w:id="22"/>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keepLines/>
        <w:spacing w:lineRule="exact" w:line="240"/>
        <w:jc w:val="center"/>
        <w:rPr>
          <w:b/>
        </w:rPr>
      </w:pPr>
      <w:r>
        <w:rPr>
          <w:b/>
        </w:rPr>
        <w:t>Form #1</w:t>
      </w:r>
      <w:r>
        <w:rPr>
          <w:rStyle w:val="FootnoteCharacters"/>
          <w:rStyle w:val="FootnoteReference"/>
          <w:b/>
          <w:color w:val="FF0000"/>
          <w:sz w:val="20"/>
        </w:rPr>
        <w:footnoteReference w:id="23"/>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keepLines/>
        <w:spacing w:lineRule="exact" w:line="240"/>
        <w:jc w:val="center"/>
        <w:rPr>
          <w:b/>
        </w:rPr>
      </w:pPr>
      <w:r>
        <w:rPr>
          <w:b/>
        </w:rPr>
      </w:r>
    </w:p>
    <w:p>
      <w:pPr>
        <w:pStyle w:val="Normal"/>
        <w:keepNext w:val="true"/>
        <w:keepLines/>
        <w:spacing w:lineRule="exact" w:line="240"/>
        <w:jc w:val="center"/>
        <w:rPr>
          <w:b/>
        </w:rPr>
      </w:pPr>
      <w:r>
        <w:rPr>
          <w:b/>
        </w:rPr>
        <w:t>U.S. WITHHOLDING TAX</w:t>
      </w:r>
    </w:p>
    <w:p>
      <w:pPr>
        <w:pStyle w:val="Normal"/>
        <w:keepNext w:val="true"/>
        <w:keepLines/>
        <w:spacing w:lineRule="exact" w:line="240"/>
        <w:jc w:val="center"/>
        <w:rPr>
          <w:b/>
        </w:rPr>
      </w:pPr>
      <w:r>
        <w:rPr>
          <w:b/>
        </w:rPr>
      </w:r>
    </w:p>
    <w:p>
      <w:pPr>
        <w:pStyle w:val="Normal"/>
        <w:spacing w:lineRule="exact" w:line="240"/>
        <w:jc w:val="center"/>
        <w:rPr>
          <w:b/>
        </w:rPr>
      </w:pPr>
      <w:r>
        <w:rPr>
          <w:b/>
        </w:rPr>
        <w:t>Party A:  Enron North America Corp.</w:t>
      </w:r>
    </w:p>
    <w:p>
      <w:pPr>
        <w:pStyle w:val="Normal"/>
        <w:spacing w:lineRule="exact" w:line="240"/>
        <w:jc w:val="center"/>
        <w:rPr/>
      </w:pPr>
      <w:r>
        <w:rPr>
          <w:b/>
        </w:rPr>
        <w:t xml:space="preserve">Party B:  </w:t>
      </w:r>
      <w:r>
        <w:rPr>
          <w:b/>
          <w:color w:val="FF0000"/>
        </w:rPr>
        <w:t>[Name of Counterparty]</w:t>
      </w:r>
    </w:p>
    <w:p>
      <w:pPr>
        <w:pStyle w:val="Normal"/>
        <w:spacing w:lineRule="exact" w:line="240"/>
        <w:jc w:val="both"/>
        <w:rPr>
          <w:b/>
          <w:color w:val="FF0000"/>
        </w:rPr>
      </w:pPr>
      <w:r>
        <w:rPr>
          <w:b/>
          <w:color w:val="FF0000"/>
        </w:rPr>
      </w:r>
    </w:p>
    <w:p>
      <w:pPr>
        <w:pStyle w:val="Normal"/>
        <w:spacing w:lineRule="exact" w:line="240"/>
        <w:jc w:val="both"/>
        <w:rPr>
          <w:b/>
        </w:rPr>
      </w:pPr>
      <w:r>
        <w:rPr>
          <w:b/>
        </w:rPr>
      </w:r>
    </w:p>
    <w:p>
      <w:pPr>
        <w:pStyle w:val="Normal"/>
        <w:spacing w:lineRule="exact" w:line="240"/>
        <w:jc w:val="both"/>
        <w:rPr>
          <w:b/>
        </w:rPr>
      </w:pPr>
      <w:r>
        <w:rPr>
          <w:b/>
        </w:rPr>
        <w:t>I.</w:t>
        <w:tab/>
        <w:t>Tax Representations.</w:t>
      </w:r>
    </w:p>
    <w:p>
      <w:pPr>
        <w:pStyle w:val="Normal"/>
        <w:spacing w:lineRule="exact" w:line="240"/>
        <w:jc w:val="both"/>
        <w:rPr>
          <w:b/>
        </w:rPr>
      </w:pPr>
      <w:r>
        <w:rPr>
          <w:b/>
        </w:rPr>
      </w:r>
    </w:p>
    <w:p>
      <w:pPr>
        <w:pStyle w:val="Normal"/>
        <w:spacing w:lineRule="exact" w:line="24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ind w:hanging="720" w:start="720" w:end="0"/>
        <w:jc w:val="both"/>
        <w:rPr/>
      </w:pPr>
      <w:r>
        <w:rPr/>
      </w:r>
    </w:p>
    <w:p>
      <w:pPr>
        <w:pStyle w:val="Normal"/>
        <w:spacing w:lineRule="exact" w:line="24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ind w:start="720" w:end="0"/>
        <w:jc w:val="both"/>
        <w:rPr/>
      </w:pPr>
      <w:r>
        <w:rPr/>
      </w:r>
    </w:p>
    <w:p>
      <w:pPr>
        <w:pStyle w:val="Normal"/>
        <w:spacing w:lineRule="exact" w:line="240"/>
        <w:ind w:hanging="720" w:start="720" w:end="0"/>
        <w:jc w:val="both"/>
        <w:rPr/>
      </w:pPr>
      <w:r>
        <w:rPr>
          <w:b/>
        </w:rPr>
        <w:t>(b)</w:t>
        <w:tab/>
        <w:t>Payee Representations.</w:t>
      </w:r>
      <w:r>
        <w:rPr/>
        <w:t xml:space="preserve">  For the purpose of Section 3(f) of the ISDA Agreement, Party A makes no representations, and Party B makes the following representation:</w:t>
      </w:r>
    </w:p>
    <w:p>
      <w:pPr>
        <w:pStyle w:val="Normal"/>
        <w:spacing w:lineRule="exact" w:line="240"/>
        <w:ind w:hanging="720" w:start="720" w:end="0"/>
        <w:jc w:val="both"/>
        <w:rPr/>
      </w:pPr>
      <w:r>
        <w:rPr/>
      </w:r>
    </w:p>
    <w:p>
      <w:pPr>
        <w:pStyle w:val="Normal"/>
        <w:spacing w:lineRule="exact" w:line="240"/>
        <w:ind w:start="720" w:end="0"/>
        <w:jc w:val="both"/>
        <w:rPr/>
      </w:pPr>
      <w:r>
        <w:rPr/>
        <w:t>Each payment received or to be received by it in connection with this Confirmation and the ISDA Agreement will be effectively connected with its conduct of a trade or business in the United States.</w:t>
      </w:r>
    </w:p>
    <w:p>
      <w:pPr>
        <w:pStyle w:val="Normal"/>
        <w:spacing w:lineRule="exact" w:line="240"/>
        <w:jc w:val="both"/>
        <w:rPr>
          <w:b/>
        </w:rPr>
      </w:pPr>
      <w:r>
        <w:rPr>
          <w:b/>
        </w:rPr>
      </w:r>
    </w:p>
    <w:p>
      <w:pPr>
        <w:pStyle w:val="Normal"/>
        <w:spacing w:lineRule="exact" w:line="240"/>
        <w:jc w:val="both"/>
        <w:rPr>
          <w:b/>
        </w:rPr>
      </w:pPr>
      <w:r>
        <w:rPr>
          <w:b/>
        </w:rPr>
        <w:t>II.</w:t>
        <w:tab/>
        <w:t>Agreement to Deliver Documents.</w:t>
      </w:r>
    </w:p>
    <w:p>
      <w:pPr>
        <w:pStyle w:val="Normal"/>
        <w:spacing w:lineRule="exact" w:line="240"/>
        <w:ind w:hanging="720" w:start="720" w:end="0"/>
        <w:jc w:val="both"/>
        <w:rPr>
          <w:b/>
        </w:rPr>
      </w:pPr>
      <w:r>
        <w:rPr>
          <w:b/>
        </w:rPr>
      </w:r>
    </w:p>
    <w:p>
      <w:pPr>
        <w:pStyle w:val="Normal"/>
        <w:spacing w:lineRule="exact" w:line="24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and thereafter prior to the first Scheduled Payment Date in each third successive taxable year of Party B, (ii) promptly upon reasonable demand by Party A, and (iii) promptly upon learning that any such form previously provided by Party B has become obsolete or incorrect.</w:t>
      </w:r>
    </w:p>
    <w:p>
      <w:pPr>
        <w:pStyle w:val="Normal"/>
        <w:spacing w:lineRule="exact" w:line="240"/>
        <w:ind w:hanging="720" w:start="720" w:end="0"/>
        <w:jc w:val="both"/>
        <w:rPr/>
      </w:pPr>
      <w:r>
        <w:rPr/>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keepNext w:val="true"/>
        <w:spacing w:lineRule="exact" w:line="240"/>
        <w:jc w:val="center"/>
        <w:rPr>
          <w:b/>
        </w:rPr>
      </w:pPr>
      <w:r>
        <w:rPr>
          <w:b/>
        </w:rPr>
        <w:t>Form #3</w:t>
      </w:r>
      <w:r>
        <w:rPr>
          <w:rStyle w:val="FootnoteCharacters"/>
          <w:rStyle w:val="FootnoteReference"/>
          <w:b/>
          <w:color w:val="FF0000"/>
          <w:sz w:val="20"/>
        </w:rPr>
        <w:footnoteReference w:id="24"/>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Normal"/>
        <w:keepNext w:val="true"/>
        <w:jc w:val="center"/>
        <w:rPr/>
      </w:pPr>
      <w:r>
        <w:rPr>
          <w:b/>
        </w:rPr>
        <w:t xml:space="preserve">Party B:  </w:t>
      </w:r>
      <w:r>
        <w:rPr>
          <w:b/>
          <w:color w:val="FF0000"/>
        </w:rPr>
        <w:t>[Name of Counterparty]</w:t>
      </w:r>
    </w:p>
    <w:p>
      <w:pPr>
        <w:pStyle w:val="Normal"/>
        <w:keepNext w:val="true"/>
        <w:jc w:val="center"/>
        <w:rPr>
          <w:b/>
          <w:color w:val="FF0000"/>
        </w:rPr>
      </w:pPr>
      <w:r>
        <w:rPr>
          <w:b/>
          <w:color w:val="FF0000"/>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xml:space="preserve">" means the income tax treaty between the United States and </w:t>
      </w:r>
      <w:r>
        <w:rPr>
          <w:color w:val="FF0000"/>
        </w:rPr>
        <w:t>[country in which Party B is resident for treaty purposes].</w:t>
      </w:r>
    </w:p>
    <w:p>
      <w:pPr>
        <w:pStyle w:val="Normal"/>
        <w:spacing w:lineRule="exact" w:line="240" w:before="240" w:after="0"/>
        <w:jc w:val="both"/>
        <w:rPr/>
      </w:pPr>
      <w:r>
        <w:rPr/>
        <w:t>"</w:t>
      </w:r>
      <w:r>
        <w:rPr>
          <w:b/>
        </w:rPr>
        <w:t>Specified Jurisdiction</w:t>
      </w:r>
      <w:r>
        <w:rPr/>
        <w:t xml:space="preserve">" means, with respect to Party A, </w:t>
      </w:r>
      <w:r>
        <w:rPr>
          <w:color w:val="FF0000"/>
        </w:rPr>
        <w:t>[country in which Party B is resident for treaty purposes].</w:t>
      </w:r>
    </w:p>
    <w:p>
      <w:pPr>
        <w:pStyle w:val="Normal"/>
        <w:spacing w:lineRule="exact" w:line="240" w:before="240" w:after="0"/>
        <w:jc w:val="both"/>
        <w:rPr/>
      </w:pPr>
      <w:r>
        <w:rPr/>
        <w:t>"</w:t>
      </w:r>
      <w:r>
        <w:rPr>
          <w:b/>
        </w:rPr>
        <w:t>Specified Jurisdiction</w:t>
      </w:r>
      <w:r>
        <w:rPr/>
        <w:t>" means, with respect to Party B, the United States.</w:t>
      </w:r>
    </w:p>
    <w:p>
      <w:pPr>
        <w:pStyle w:val="BodyText"/>
        <w:spacing w:lineRule="exact" w:line="240" w:before="240" w:after="0"/>
        <w:rPr>
          <w:color w:val="FF0000"/>
        </w:rPr>
      </w:pPr>
      <w:r>
        <w:rPr>
          <w:color w:val="FF0000"/>
        </w:rPr>
        <w:t>[If (i) Party B is a bank and (ii) the relevant treaty does not provide for a zero rate of withholding on interest, the following representation should be added to the Payee Representations:</w:t>
      </w:r>
    </w:p>
    <w:p>
      <w:pPr>
        <w:pStyle w:val="BodyText"/>
        <w:spacing w:lineRule="exact" w:line="240" w:before="240" w:after="0"/>
        <w:rPr>
          <w:color w:val="FF0000"/>
        </w:rPr>
      </w:pPr>
      <w:r>
        <w:rPr>
          <w:color w:val="FF0000"/>
        </w:rPr>
        <w:t>Party B makes the following representation:</w:t>
      </w:r>
    </w:p>
    <w:p>
      <w:pPr>
        <w:pStyle w:val="Normal"/>
        <w:spacing w:lineRule="exact" w:line="240" w:before="240" w:after="0"/>
        <w:jc w:val="both"/>
        <w:rPr>
          <w:color w:val="FF0000"/>
        </w:rPr>
      </w:pPr>
      <w:r>
        <w:rPr>
          <w:color w:val="FF0000"/>
        </w:rPr>
        <w:t>It is not entering into this Confirmation and the ISDA Agreement in the ordinary course of its business of making loans.]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of the ISDA Agreement,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keepNext w:val="true"/>
        <w:jc w:val="center"/>
        <w:rPr>
          <w:b/>
        </w:rPr>
      </w:pPr>
      <w:r>
        <w:rPr>
          <w:b/>
        </w:rPr>
        <w:t>Form #4</w:t>
      </w:r>
      <w:r>
        <w:rPr>
          <w:rStyle w:val="FootnoteCharacters"/>
          <w:rStyle w:val="FootnoteReference"/>
          <w:b/>
          <w:color w:val="FF0000"/>
          <w:sz w:val="20"/>
        </w:rPr>
        <w:footnoteReference w:id="25"/>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pPr>
      <w:r>
        <w:rPr>
          <w:b/>
        </w:rPr>
        <w:t xml:space="preserve">Party B:  </w:t>
      </w:r>
      <w:r>
        <w:rPr>
          <w:b/>
          <w:color w:val="FF0000"/>
        </w:rPr>
        <w:t>[Name of Counterparty]</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 xml:space="preserve">Party B is a </w:t>
      </w:r>
      <w:r>
        <w:rPr>
          <w:color w:val="FF0000"/>
        </w:rPr>
        <w:t xml:space="preserve">[corporation/partnership] </w:t>
      </w:r>
      <w:r>
        <w:rPr/>
        <w:t xml:space="preserve">organized under the law of the State of </w:t>
      </w:r>
      <w:r>
        <w:rPr>
          <w:color w:val="FF0000"/>
        </w:rPr>
        <w:t>[specify].</w:t>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keepNext w:val="true"/>
        <w:jc w:val="center"/>
        <w:rPr>
          <w:b/>
        </w:rPr>
      </w:pPr>
      <w:r>
        <w:rPr>
          <w:b/>
        </w:rPr>
        <w:t>Form #7</w:t>
      </w:r>
      <w:r>
        <w:rPr>
          <w:rStyle w:val="FootnoteCharacters"/>
          <w:rStyle w:val="FootnoteReference"/>
          <w:b/>
          <w:color w:val="FF0000"/>
          <w:sz w:val="20"/>
        </w:rPr>
        <w:footnoteReference w:id="26"/>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 xml:space="preserve">Party B:  </w:t>
      </w:r>
      <w:r>
        <w:rPr>
          <w:b/>
          <w:color w:val="FF0000"/>
        </w:rPr>
        <w:t>[Name of Counterparty]</w:t>
      </w:r>
    </w:p>
    <w:p>
      <w:pPr>
        <w:pStyle w:val="Normal"/>
        <w:jc w:val="center"/>
        <w:rPr>
          <w:b/>
        </w:rPr>
      </w:pPr>
      <w:r>
        <w:rPr>
          <w:b/>
        </w:rPr>
      </w:r>
    </w:p>
    <w:p>
      <w:pPr>
        <w:pStyle w:val="Normal"/>
        <w:spacing w:lineRule="exact" w:line="480"/>
        <w:jc w:val="both"/>
        <w:rPr>
          <w:b/>
        </w:rPr>
      </w:pPr>
      <w:r>
        <w:rPr>
          <w:b/>
        </w:rPr>
        <w:t>I.  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pPr>
      <w:r>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1440" w:end="0"/>
        <w:jc w:val="both"/>
        <w:rPr>
          <w:color w:val="FF0000"/>
        </w:rPr>
      </w:pPr>
      <w:r>
        <w:rPr>
          <w:color w:val="FF0000"/>
        </w:rPr>
        <w:t>[If Party B is a bank, the following representation should be added to the Payee Representations:</w:t>
      </w:r>
    </w:p>
    <w:p>
      <w:pPr>
        <w:pStyle w:val="Normal"/>
        <w:spacing w:lineRule="exact" w:line="240" w:before="240" w:after="0"/>
        <w:ind w:hanging="720" w:start="1440" w:end="0"/>
        <w:jc w:val="both"/>
        <w:rPr>
          <w:color w:val="FF0000"/>
        </w:rPr>
      </w:pPr>
      <w:r>
        <w:rPr>
          <w:color w:val="FF0000"/>
        </w:rPr>
        <w:t>( )</w:t>
        <w:tab/>
        <w:t>Party B makes the following representation:</w:t>
      </w:r>
    </w:p>
    <w:p>
      <w:pPr>
        <w:pStyle w:val="BodyTextIndent"/>
        <w:rPr/>
      </w:pPr>
      <w:r>
        <w:rPr/>
        <w:t>It is not entering into this Confirmation and the ISDA Agreement in the ordinary course of its business of making loans.]</w:t>
      </w:r>
    </w:p>
    <w:p>
      <w:pPr>
        <w:pStyle w:val="Normal"/>
        <w:spacing w:lineRule="exact" w:line="240" w:before="240" w:after="0"/>
        <w:ind w:start="720" w:end="0"/>
        <w:jc w:val="both"/>
        <w:rPr>
          <w:color w:val="FF0000"/>
        </w:rPr>
      </w:pPr>
      <w:r>
        <w:rPr>
          <w:color w:val="FF0000"/>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color w:val="FF0000"/>
        </w:rPr>
      </w:pPr>
      <w:r>
        <w:rPr>
          <w:color w:val="FF0000"/>
        </w:rPr>
        <w:t xml:space="preserve">( ) </w:t>
        <w:tab/>
        <w:t>Party B makes the following representation:</w:t>
      </w:r>
    </w:p>
    <w:p>
      <w:pPr>
        <w:pStyle w:val="Normal"/>
        <w:spacing w:lineRule="exact" w:line="240" w:before="240" w:after="0"/>
        <w:ind w:start="720" w:end="0"/>
        <w:jc w:val="both"/>
        <w:rPr>
          <w:color w:val="FF0000"/>
        </w:rPr>
      </w:pPr>
      <w:r>
        <w:rPr>
          <w:color w:val="FF0000"/>
        </w:rPr>
        <w:t>No direct or indirect beneficial owner of Party B is a resident of the United States for federal income tax purposes.]</w:t>
      </w:r>
    </w:p>
    <w:p>
      <w:pPr>
        <w:pStyle w:val="Normal"/>
        <w:spacing w:lineRule="exact" w:line="240" w:before="240" w:after="0"/>
        <w:ind w:hanging="720" w:start="720" w:end="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W-8BEN, or any successor form, (i) before the first Scheduled Payment Date under this Confirmation and the ISDA Agreement, (ii) before December 31st of each third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sectPr>
          <w:headerReference w:type="default" r:id="rId19"/>
          <w:headerReference w:type="first" r:id="rId20"/>
          <w:footerReference w:type="default" r:id="rId21"/>
          <w:footerReference w:type="first" r:id="rId22"/>
          <w:footnotePr>
            <w:numFmt w:val="decimal"/>
          </w:footnotePr>
          <w:type w:val="nextPage"/>
          <w:pgSz w:w="12240" w:h="15840"/>
          <w:pgMar w:left="1008" w:right="1008" w:gutter="0" w:header="720" w:top="1008" w:footer="432" w:bottom="1008"/>
          <w:pgNumType w:start="1" w:fmt="decimal"/>
          <w:formProt w:val="false"/>
          <w:textDirection w:val="lrTb"/>
          <w:docGrid w:type="default" w:linePitch="360" w:charSpace="0"/>
        </w:sectPr>
        <w:pStyle w:val="Header"/>
        <w:rPr>
          <w:sz w:val="20"/>
        </w:rPr>
      </w:pPr>
      <w:r>
        <w:rPr>
          <w:sz w:val="20"/>
        </w:rPr>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color w:val="FF0000"/>
        </w:rPr>
      </w:pPr>
      <w:r>
        <w:rPr>
          <w:b/>
          <w:color w:val="FF0000"/>
        </w:rPr>
        <w:t>[TO BE INSERTED IF APPLICABLE]</w:t>
      </w:r>
    </w:p>
    <w:p>
      <w:pPr>
        <w:pStyle w:val="Normal"/>
        <w:jc w:val="center"/>
        <w:rPr>
          <w:b/>
          <w:color w:val="FF0000"/>
        </w:rPr>
      </w:pPr>
      <w:r>
        <w:rPr>
          <w:b/>
          <w:color w:val="FF0000"/>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720" w:end="0"/>
        <w:jc w:val="both"/>
        <w:rPr/>
      </w:pPr>
      <w:r>
        <w:rPr>
          <w:b/>
        </w:rPr>
        <w:tab/>
      </w:r>
      <w:r>
        <w:rPr>
          <w:b/>
          <w:color w:val="FF0000"/>
        </w:rPr>
        <w:t>[</w:t>
      </w:r>
      <w:r>
        <w:rPr>
          <w:b/>
          <w:color w:val="FF0000"/>
          <w:u w:val="single"/>
        </w:rPr>
        <w:t>INSERT TO THE EXTENT APPLICAPLE IF CREDIT SUPPORT IS BEING PROVIDED BY COUNTERPARTY ONLY</w:t>
      </w:r>
      <w:r>
        <w:rPr>
          <w:b/>
          <w:color w:val="FF0000"/>
        </w:rPr>
        <w:t>]:</w:t>
      </w:r>
    </w:p>
    <w:p>
      <w:pPr>
        <w:pStyle w:val="Normal"/>
        <w:ind w:hanging="720" w:start="720" w:end="0"/>
        <w:jc w:val="both"/>
        <w:rPr>
          <w:b/>
          <w:color w:val="FF0000"/>
          <w:u w:val="single"/>
        </w:rPr>
      </w:pPr>
      <w:r>
        <w:rPr>
          <w:b/>
          <w:color w:val="FF0000"/>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t>(i)</w:t>
        <w:tab/>
        <w:t>The following Events of Default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
    </w:p>
    <w:p>
      <w:pPr>
        <w:pStyle w:val="Normal"/>
        <w:ind w:hanging="720" w:start="1440" w:end="0"/>
        <w:jc w:val="both"/>
        <w:rPr/>
      </w:pPr>
      <w:r>
        <w:rPr/>
        <w:t>"(ix)</w:t>
        <w:tab/>
        <w:t xml:space="preserve">Counterparty fails to establish, maintain, renew, substitute or increase the Performance Assurance </w:t>
      </w:r>
      <w:r>
        <w:rPr>
          <w:color w:val="FF0000"/>
        </w:rPr>
        <w:t>[, including without limitation, the Additional Amount,]</w:t>
      </w:r>
      <w:r>
        <w:rPr>
          <w:rStyle w:val="FootnoteCharacters"/>
          <w:rStyle w:val="FootnoteReference"/>
          <w:color w:val="FF0000"/>
          <w:sz w:val="20"/>
        </w:rPr>
        <w:footnoteReference w:id="27"/>
      </w:r>
      <w:r>
        <w:rPr/>
        <w:t xml:space="preserve"> in accordance with the terms and provisions of Annex B-1 and the failure continues for two (2) Business Days after notice from ENA; or</w:t>
      </w:r>
    </w:p>
    <w:p>
      <w:pPr>
        <w:pStyle w:val="Normal"/>
        <w:ind w:hanging="720" w:start="1440" w:end="0"/>
        <w:jc w:val="both"/>
        <w:rPr/>
      </w:pPr>
      <w:r>
        <w:rPr/>
      </w:r>
    </w:p>
    <w:p>
      <w:pPr>
        <w:pStyle w:val="Normal"/>
        <w:spacing w:lineRule="atLeast" w:line="240"/>
        <w:ind w:hanging="720" w:start="1440" w:end="0"/>
        <w:jc w:val="both"/>
        <w:rPr/>
      </w:pPr>
      <w:r>
        <w:rPr/>
        <w:t>(x)</w:t>
        <w:tab/>
        <w:t xml:space="preserve">in the case of Counterparty, if </w:t>
      </w:r>
      <w:r>
        <w:rPr>
          <w:color w:val="FF0000"/>
        </w:rPr>
        <w:t>[</w:t>
      </w:r>
      <w:r>
        <w:rPr/>
        <w:t>_____________</w:t>
      </w:r>
      <w:r>
        <w:rPr>
          <w:color w:val="FF0000"/>
        </w:rPr>
        <w:t>]</w:t>
      </w:r>
      <w:r>
        <w:rPr/>
        <w:t xml:space="preserve"> ceases to own directly or indirectly, fifty-one percent (51%) or more of the outstanding capital stock or other equity interests of Counterparty having ordinary voting power."</w:t>
      </w:r>
    </w:p>
    <w:p>
      <w:pPr>
        <w:pStyle w:val="Normal"/>
        <w:spacing w:lineRule="atLeast" w:line="240"/>
        <w:jc w:val="both"/>
        <w:rPr>
          <w:b/>
          <w:u w:val="single"/>
        </w:rPr>
      </w:pPr>
      <w:r>
        <w:rPr>
          <w:b/>
          <w:u w:val="single"/>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 xml:space="preserve">The “Cross Default provisions of Section 5(a)(vi) of the ISDA Agreement will apply to </w:t>
      </w:r>
      <w:r>
        <w:rPr>
          <w:color w:val="FF0000"/>
        </w:rPr>
        <w:t>[</w:t>
      </w:r>
      <w:r>
        <w:rPr/>
        <w:t>Counterparty</w:t>
      </w:r>
      <w:r>
        <w:rPr>
          <w:color w:val="FF0000"/>
        </w:rPr>
        <w:t>]</w:t>
      </w:r>
      <w:r>
        <w:rPr/>
        <w:t xml:space="preserve"> and </w:t>
      </w:r>
      <w:r>
        <w:rPr>
          <w:color w:val="FF0000"/>
        </w:rPr>
        <w:t>[</w:t>
      </w:r>
      <w:r>
        <w:rPr/>
        <w:t>Counterparty’s Credit Support Provider</w:t>
      </w:r>
      <w:r>
        <w:rPr>
          <w:color w:val="FF0000"/>
        </w:rPr>
        <w:t>]</w:t>
      </w:r>
      <w:r>
        <w:rPr/>
        <w:t xml:space="preserve">.  Specified Indebtedness will have the meaning specified in Section 14 of the ISDA Agreement.  Threshold Amount means with respect to </w:t>
      </w:r>
      <w:r>
        <w:rPr>
          <w:color w:val="FF0000"/>
        </w:rPr>
        <w:t>[</w:t>
      </w:r>
      <w:r>
        <w:rPr/>
        <w:t>Counterparty U.S. $_________________ (or its equivalent in another currency)</w:t>
      </w:r>
      <w:r>
        <w:rPr>
          <w:color w:val="FF0000"/>
        </w:rPr>
        <w:t>]</w:t>
      </w:r>
      <w:r>
        <w:rPr/>
        <w:t xml:space="preserve"> and</w:t>
      </w:r>
      <w:r>
        <w:rPr>
          <w:color w:val="FF0000"/>
        </w:rPr>
        <w:t xml:space="preserve"> [</w:t>
      </w:r>
      <w:r>
        <w:rPr/>
        <w:t>Counterparty’s Credit Support Provider U.S. $____________________ (or its equivalent in another currency)</w:t>
      </w:r>
      <w:r>
        <w:rPr>
          <w:color w:val="FF0000"/>
        </w:rPr>
        <w:t>]</w:t>
      </w:r>
      <w:r>
        <w:rPr/>
        <w:t>.</w:t>
      </w:r>
    </w:p>
    <w:p>
      <w:pPr>
        <w:pStyle w:val="Normal"/>
        <w:ind w:start="720" w:end="0"/>
        <w:jc w:val="both"/>
        <w:rPr/>
      </w:pPr>
      <w:r>
        <w:rPr/>
      </w:r>
    </w:p>
    <w:p>
      <w:pPr>
        <w:pStyle w:val="Normal"/>
        <w:ind w:hanging="720" w:start="720" w:end="0"/>
        <w:jc w:val="both"/>
        <w:rPr>
          <w:b/>
          <w:color w:val="FF0000"/>
          <w:u w:val="single"/>
        </w:rPr>
      </w:pPr>
      <w:r>
        <w:rPr>
          <w:b/>
        </w:rPr>
        <w:tab/>
      </w:r>
      <w:r>
        <w:rPr>
          <w:b/>
          <w:color w:val="FF0000"/>
        </w:rPr>
        <w:t>[</w:t>
      </w:r>
      <w:r>
        <w:rPr>
          <w:b/>
          <w:color w:val="FF0000"/>
          <w:u w:val="single"/>
        </w:rPr>
        <w:t>INSERT TO THE EXTENT POSSIBLE IF CREDIT SUPPORT IS BEING PROVIDED BY COUNTERPARTY AND ENA</w:t>
      </w:r>
      <w:r>
        <w:rPr>
          <w:b/>
          <w:color w:val="FF0000"/>
        </w:rPr>
        <w:t>]:</w:t>
      </w:r>
    </w:p>
    <w:p>
      <w:pPr>
        <w:pStyle w:val="Normal"/>
        <w:ind w:hanging="720" w:start="720" w:end="0"/>
        <w:jc w:val="both"/>
        <w:rPr>
          <w:b/>
          <w:color w:val="FF0000"/>
          <w:u w:val="single"/>
        </w:rPr>
      </w:pPr>
      <w:r>
        <w:rPr>
          <w:b/>
          <w:color w:val="FF0000"/>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 xml:space="preserve">the Defaulting Party fails to establish, maintain, renew, substitute or increase the Performance Assurance </w:t>
      </w:r>
      <w:r>
        <w:rPr>
          <w:color w:val="FF0000"/>
        </w:rPr>
        <w:t>[, including within limitation, the Additional Amount,]</w:t>
      </w:r>
      <w:r>
        <w:rPr>
          <w:rStyle w:val="FootnoteCharacters"/>
          <w:rStyle w:val="FootnoteReference"/>
          <w:color w:val="FF0000"/>
        </w:rPr>
        <w:footnoteReference w:id="28"/>
      </w:r>
      <w:r>
        <w:rPr/>
        <w:t xml:space="preserve"> in accordance with the terms and provisions of Annex B-1 and the failure continues for two (2) Business Days after notice from the other party; or</w:t>
      </w:r>
    </w:p>
    <w:p>
      <w:pPr>
        <w:pStyle w:val="Normal"/>
        <w:ind w:hanging="720" w:start="1440" w:end="0"/>
        <w:jc w:val="both"/>
        <w:rPr/>
      </w:pPr>
      <w:r>
        <w:rPr/>
      </w:r>
    </w:p>
    <w:p>
      <w:pPr>
        <w:pStyle w:val="Normal"/>
        <w:tabs>
          <w:tab w:val="clear" w:pos="720"/>
          <w:tab w:val="left" w:pos="1440" w:leader="none"/>
          <w:tab w:val="left" w:pos="2160" w:leader="none"/>
          <w:tab w:val="left" w:pos="9000" w:leader="none"/>
        </w:tabs>
        <w:spacing w:lineRule="atLeast" w:line="240"/>
        <w:ind w:hanging="720" w:start="1440" w:end="0"/>
        <w:jc w:val="both"/>
        <w:rPr/>
      </w:pPr>
      <w:r>
        <w:rPr/>
        <w:t>(x)</w:t>
        <w:tab/>
        <w:t xml:space="preserve">in the case of Counterparty, if </w:t>
      </w:r>
      <w:r>
        <w:rPr>
          <w:color w:val="FF0000"/>
        </w:rPr>
        <w:t>[</w:t>
      </w:r>
      <w:r>
        <w:rPr/>
        <w:t>_____________</w:t>
      </w:r>
      <w:r>
        <w:rPr>
          <w:color w:val="FF0000"/>
        </w:rPr>
        <w:t>]</w:t>
      </w:r>
      <w:r>
        <w:rPr/>
        <w:t xml:space="preserve"> ceases to own directly or indirectly, fifty-one percent (51%) or more of the outstanding capital stock or other equity interests of Counterparty having ordinary voting power."</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 xml:space="preserve">The “Cross Default provisions of Section 5(a)(vi) of the ISDA Agreement will apply to </w:t>
      </w:r>
      <w:r>
        <w:rPr>
          <w:color w:val="FF0000"/>
        </w:rPr>
        <w:t>[</w:t>
      </w:r>
      <w:r>
        <w:rPr/>
        <w:t>Counterparty</w:t>
      </w:r>
      <w:r>
        <w:rPr>
          <w:color w:val="FF0000"/>
        </w:rPr>
        <w:t>]</w:t>
      </w:r>
      <w:r>
        <w:rPr/>
        <w:t xml:space="preserve"> </w:t>
      </w:r>
      <w:r>
        <w:rPr>
          <w:color w:val="FF0000"/>
        </w:rPr>
        <w:t>[</w:t>
      </w:r>
      <w:r>
        <w:rPr/>
        <w:t>and Counterparty’s Credit Support Provider</w:t>
      </w:r>
      <w:r>
        <w:rPr>
          <w:color w:val="FF0000"/>
        </w:rPr>
        <w:t>]</w:t>
      </w:r>
      <w:r>
        <w:rPr/>
        <w:t xml:space="preserve">; and will apply to </w:t>
      </w:r>
      <w:r>
        <w:rPr>
          <w:color w:val="FF0000"/>
        </w:rPr>
        <w:t>[</w:t>
      </w:r>
      <w:r>
        <w:rPr/>
        <w:t>ENA</w:t>
      </w:r>
      <w:r>
        <w:rPr>
          <w:color w:val="FF0000"/>
        </w:rPr>
        <w:t>]</w:t>
      </w:r>
      <w:r>
        <w:rPr/>
        <w:t xml:space="preserve"> </w:t>
      </w:r>
      <w:r>
        <w:rPr>
          <w:color w:val="FF0000"/>
        </w:rPr>
        <w:t>[</w:t>
      </w:r>
      <w:r>
        <w:rPr/>
        <w:t>and ENA’s Credit Support Provider</w:t>
      </w:r>
      <w:r>
        <w:rPr>
          <w:color w:val="FF0000"/>
        </w:rPr>
        <w:t>]</w:t>
      </w:r>
      <w:r>
        <w:rPr/>
        <w:t xml:space="preserve">.  Specified Indebtedness will have the meaning specified in Section 14 of the ISDA Agreement.  Threshold Amount means: </w:t>
      </w:r>
      <w:r>
        <w:rPr>
          <w:color w:val="FF0000"/>
        </w:rPr>
        <w:t>[</w:t>
      </w:r>
      <w:r>
        <w:rPr/>
        <w:t>with respect to ENA, U.S. $____________ (or its equivalent in another currency)</w:t>
      </w:r>
      <w:r>
        <w:rPr>
          <w:color w:val="FF0000"/>
        </w:rPr>
        <w:t>][</w:t>
      </w:r>
      <w:r>
        <w:rPr/>
        <w:t>; with respect to ENA's Credit Support Provider, U.S. $____________(or its equivalent in another currency)</w:t>
      </w:r>
      <w:r>
        <w:rPr>
          <w:color w:val="FF0000"/>
        </w:rPr>
        <w:t>][</w:t>
      </w:r>
      <w:r>
        <w:rPr>
          <w:color w:val="000000"/>
        </w:rPr>
        <w:t xml:space="preserve">; </w:t>
      </w:r>
      <w:r>
        <w:rPr/>
        <w:t>and with respect to Party B, U.S. $____________ (or its equivalent in another currency)</w:t>
      </w:r>
      <w:r>
        <w:rPr>
          <w:color w:val="FF0000"/>
        </w:rPr>
        <w:t>][</w:t>
      </w:r>
      <w:r>
        <w:rPr/>
        <w:t>; and with respect to Party B's Credit Support Provider, U.S. $__________ (or its equivalent in another currency)</w:t>
      </w:r>
      <w:r>
        <w:rPr>
          <w:color w:val="FF0000"/>
        </w:rPr>
        <w:t>]; [</w:t>
      </w:r>
      <w:r>
        <w:rPr>
          <w:color w:val="FF0000"/>
          <w:u w:val="single"/>
        </w:rPr>
        <w:t>provided</w:t>
      </w:r>
      <w:r>
        <w:rPr>
          <w:color w:val="FF0000"/>
        </w:rPr>
        <w:t xml:space="preserve">, </w:t>
      </w:r>
      <w:r>
        <w:rPr>
          <w:color w:val="FF0000"/>
          <w:u w:val="single"/>
        </w:rPr>
        <w:t>that,</w:t>
      </w:r>
      <w:r>
        <w:rPr>
          <w:color w:val="FF000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jc w:val="both"/>
        <w:rPr>
          <w:b/>
          <w:color w:val="FF0000"/>
          <w:u w:val="single"/>
        </w:rPr>
      </w:pPr>
      <w:r>
        <w:rPr>
          <w:b/>
          <w:color w:val="FF0000"/>
        </w:rPr>
        <w:t>•</w:t>
      </w:r>
      <w:r>
        <w:rPr>
          <w:b/>
          <w:color w:val="FF0000"/>
        </w:rPr>
        <w:tab/>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color w:val="FF0000"/>
          <w:u w:val="single"/>
        </w:rPr>
      </w:pPr>
      <w:r>
        <w:rPr>
          <w:b/>
          <w:color w:val="FF0000"/>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u w:val="single"/>
        </w:rPr>
      </w:pPr>
      <w:r>
        <w:rPr>
          <w:b/>
          <w:color w:val="FF0000"/>
        </w:rPr>
        <w:tab/>
        <w:t>[</w:t>
      </w:r>
      <w:r>
        <w:rPr>
          <w:b/>
          <w:color w:val="FF0000"/>
          <w:u w:val="single"/>
        </w:rPr>
        <w:t>INSERT IF MAC IS TO BE APPLICABLE TO ENA AND COUNTERPARTY (CREDIT RATINGS)</w:t>
      </w:r>
      <w:r>
        <w:rPr>
          <w:b/>
          <w:color w:val="FF0000"/>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u w:val="single"/>
        </w:rPr>
      </w:pPr>
      <w:r>
        <w:rPr>
          <w:b/>
          <w:u w:val="single"/>
        </w:rPr>
      </w:r>
    </w:p>
    <w:p>
      <w:pPr>
        <w:pStyle w:val="Normal"/>
        <w:ind w:start="360" w:end="0"/>
        <w:jc w:val="both"/>
        <w:rPr/>
      </w:pPr>
      <w:r>
        <w:rPr/>
        <w:t>"</w:t>
      </w:r>
      <w:r>
        <w:rPr>
          <w:i/>
          <w:u w:val="single"/>
        </w:rPr>
        <w:t>Material Adverse Change</w:t>
      </w:r>
      <w:r>
        <w:rPr>
          <w:i/>
        </w:rPr>
        <w:t>"</w:t>
      </w:r>
      <w:r>
        <w:rPr/>
        <w:t xml:space="preserve"> means (a) with respect to ENA, </w:t>
      </w:r>
      <w:r>
        <w:rPr>
          <w:color w:val="FF0000"/>
        </w:rPr>
        <w:t>[</w:t>
      </w:r>
      <w:r>
        <w:rPr/>
        <w:t>Enron Corp.’s</w:t>
      </w:r>
      <w:r>
        <w:rPr>
          <w:color w:val="FF0000"/>
        </w:rPr>
        <w:t>] [</w:t>
      </w:r>
      <w:r>
        <w:rPr>
          <w:color w:val="000000"/>
        </w:rPr>
        <w:t>its Credit Support Provider’s</w:t>
      </w:r>
      <w:r>
        <w:rPr>
          <w:color w:val="FF0000"/>
        </w:rPr>
        <w:t>]</w:t>
      </w:r>
      <w:r>
        <w:rPr>
          <w:color w:val="000000"/>
        </w:rPr>
        <w:t xml:space="preserve"> Credit Rating is below “BBB-” by S&amp;P </w:t>
      </w:r>
      <w:r>
        <w:rPr>
          <w:color w:val="FF0000"/>
        </w:rPr>
        <w:t>[</w:t>
      </w:r>
      <w:r>
        <w:rPr>
          <w:color w:val="000000"/>
        </w:rPr>
        <w:t>or below “Baa3” by Moody’s</w:t>
      </w:r>
      <w:r>
        <w:rPr>
          <w:color w:val="FF0000"/>
        </w:rPr>
        <w:t>]</w:t>
      </w:r>
      <w:r>
        <w:rPr>
          <w:color w:val="000000"/>
        </w:rPr>
        <w:t xml:space="preserve"> or </w:t>
      </w:r>
      <w:r>
        <w:rPr>
          <w:color w:val="FF0000"/>
        </w:rPr>
        <w:t>[</w:t>
      </w:r>
      <w:r>
        <w:rPr>
          <w:color w:val="000000"/>
        </w:rPr>
        <w:t>Enron Corp.</w:t>
      </w:r>
      <w:r>
        <w:rPr>
          <w:color w:val="FF0000"/>
        </w:rPr>
        <w:t>] [</w:t>
      </w:r>
      <w:r>
        <w:rPr>
          <w:color w:val="000000"/>
        </w:rPr>
        <w:t>its Credit Support Provider</w:t>
      </w:r>
      <w:r>
        <w:rPr>
          <w:color w:val="FF0000"/>
        </w:rPr>
        <w:t>]</w:t>
      </w:r>
      <w:r>
        <w:rPr>
          <w:color w:val="000000"/>
        </w:rPr>
        <w:t xml:space="preserve"> fails to have a Credit Rating from S&amp;P </w:t>
      </w:r>
      <w:r>
        <w:rPr>
          <w:color w:val="FF0000"/>
        </w:rPr>
        <w:t>[</w:t>
      </w:r>
      <w:r>
        <w:rPr>
          <w:color w:val="000000"/>
        </w:rPr>
        <w:t>or Moody’s</w:t>
      </w:r>
      <w:r>
        <w:rPr>
          <w:color w:val="FF0000"/>
        </w:rPr>
        <w:t>]</w:t>
      </w:r>
      <w:r>
        <w:rPr>
          <w:color w:val="000000"/>
        </w:rPr>
        <w:t xml:space="preserve">; or (b) with respect to Counterparty, </w:t>
      </w:r>
      <w:r>
        <w:rPr>
          <w:color w:val="FF0000"/>
        </w:rPr>
        <w:t>[</w:t>
      </w:r>
      <w:r>
        <w:rPr>
          <w:color w:val="000000"/>
        </w:rPr>
        <w:t>its</w:t>
      </w:r>
      <w:r>
        <w:rPr>
          <w:color w:val="FF0000"/>
        </w:rPr>
        <w:t>] [</w:t>
      </w:r>
      <w:r>
        <w:rPr>
          <w:color w:val="000000"/>
        </w:rPr>
        <w:t>its Credit Support Provider’s</w:t>
      </w:r>
      <w:r>
        <w:rPr>
          <w:color w:val="FF0000"/>
        </w:rPr>
        <w:t>]</w:t>
      </w:r>
      <w:r>
        <w:rPr>
          <w:color w:val="000000"/>
        </w:rPr>
        <w:t xml:space="preserve"> Credit Rating is below “__” by S&amp;P </w:t>
      </w:r>
      <w:r>
        <w:rPr>
          <w:color w:val="FF0000"/>
        </w:rPr>
        <w:t>[</w:t>
      </w:r>
      <w:r>
        <w:rPr>
          <w:color w:val="000000"/>
        </w:rPr>
        <w:t>or below “__” by Moody’s</w:t>
      </w:r>
      <w:r>
        <w:rPr>
          <w:color w:val="FF0000"/>
        </w:rPr>
        <w:t>]</w:t>
      </w:r>
      <w:r>
        <w:rPr>
          <w:color w:val="000000"/>
        </w:rPr>
        <w:t xml:space="preserve"> or </w:t>
      </w:r>
      <w:r>
        <w:rPr>
          <w:color w:val="FF0000"/>
        </w:rPr>
        <w:t>[</w:t>
      </w:r>
      <w:r>
        <w:rPr>
          <w:color w:val="000000"/>
        </w:rPr>
        <w:t>it</w:t>
      </w:r>
      <w:r>
        <w:rPr>
          <w:color w:val="FF0000"/>
        </w:rPr>
        <w:t>] [</w:t>
      </w:r>
      <w:r>
        <w:rPr>
          <w:color w:val="000000"/>
        </w:rPr>
        <w:t>its Credit Support Provider</w:t>
      </w:r>
      <w:r>
        <w:rPr>
          <w:color w:val="FF0000"/>
        </w:rPr>
        <w:t>]</w:t>
      </w:r>
      <w:r>
        <w:rPr>
          <w:color w:val="000000"/>
        </w:rPr>
        <w:t xml:space="preserve"> fails to have a Credit Rating from S&amp;P</w:t>
      </w:r>
      <w:r>
        <w:rPr>
          <w:color w:val="FF0000"/>
        </w:rPr>
        <w:t xml:space="preserve"> [</w:t>
      </w:r>
      <w:r>
        <w:rPr>
          <w:color w:val="000000"/>
        </w:rPr>
        <w:t>or Moody’s</w:t>
      </w:r>
      <w:r>
        <w:rPr>
          <w:color w:val="FF0000"/>
        </w:rPr>
        <w:t>]</w:t>
      </w:r>
      <w:r>
        <w:rPr>
          <w:color w:val="000000"/>
        </w:rPr>
        <w:t>.</w:t>
      </w:r>
    </w:p>
    <w:p>
      <w:pPr>
        <w:pStyle w:val="Justified"/>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rFonts w:ascii="Times New Roman" w:hAnsi="Times New Roman" w:cs="Times New Roman"/>
          <w:sz w:val="20"/>
        </w:rPr>
      </w:pPr>
      <w:r>
        <w:rPr>
          <w:rFonts w:cs="Times New Roman" w:ascii="Times New Roman" w:hAnsi="Times New Roman"/>
          <w:sz w:val="20"/>
        </w:rPr>
      </w:r>
    </w:p>
    <w:p>
      <w:pPr>
        <w:pStyle w:val="Normal"/>
        <w:ind w:hanging="720" w:start="720" w:end="0"/>
        <w:jc w:val="both"/>
        <w:rPr>
          <w:b/>
          <w:color w:val="FF0000"/>
          <w:u w:val="single"/>
        </w:rPr>
      </w:pPr>
      <w:r>
        <w:rPr>
          <w:b/>
        </w:rPr>
        <w:tab/>
      </w:r>
      <w:r>
        <w:rPr>
          <w:b/>
          <w:color w:val="FF0000"/>
        </w:rPr>
        <w:t>[</w:t>
      </w:r>
      <w:r>
        <w:rPr>
          <w:b/>
          <w:color w:val="FF0000"/>
          <w:u w:val="single"/>
        </w:rPr>
        <w:t>INSERT IF MAC IS TO BE APPLICABLE TO ECT (CREDIT RATING) AND COUNTERPARTY (NON-SPECIFIC MAC)</w:t>
      </w:r>
      <w:r>
        <w:rPr>
          <w:b/>
          <w:color w:val="FF0000"/>
        </w:rPr>
        <w:t>]:</w:t>
      </w:r>
    </w:p>
    <w:p>
      <w:pPr>
        <w:pStyle w:val="Justified"/>
        <w:spacing w:before="0" w:after="0"/>
        <w:rPr>
          <w:rFonts w:ascii="Times New Roman" w:hAnsi="Times New Roman" w:cs="Times New Roman"/>
          <w:b/>
          <w:color w:val="FF0000"/>
          <w:sz w:val="20"/>
          <w:u w:val="single"/>
        </w:rPr>
      </w:pPr>
      <w:r>
        <w:rPr>
          <w:rFonts w:cs="Times New Roman" w:ascii="Times New Roman" w:hAnsi="Times New Roman"/>
          <w:b/>
          <w:color w:val="FF0000"/>
          <w:sz w:val="20"/>
          <w:u w:val="single"/>
        </w:rPr>
      </w:r>
    </w:p>
    <w:p>
      <w:pPr>
        <w:pStyle w:val="Normal"/>
        <w:spacing w:lineRule="atLeast" w:line="240"/>
        <w:ind w:start="360" w:end="0"/>
        <w:jc w:val="both"/>
        <w:rPr/>
      </w:pPr>
      <w:r>
        <w:rPr>
          <w:i/>
        </w:rPr>
        <w:t>"</w:t>
      </w:r>
      <w:r>
        <w:rPr>
          <w:i/>
          <w:u w:val="single"/>
        </w:rPr>
        <w:t>Material Adverse Change</w:t>
      </w:r>
      <w:r>
        <w:rPr>
          <w:i/>
        </w:rPr>
        <w:t>"</w:t>
      </w:r>
      <w:r>
        <w:rPr/>
        <w:t xml:space="preserve"> means (a) with respect to ENA, </w:t>
      </w:r>
      <w:r>
        <w:rPr>
          <w:color w:val="FF0000"/>
        </w:rPr>
        <w:t>[</w:t>
      </w:r>
      <w:r>
        <w:rPr/>
        <w:t>Enron Corp.’s</w:t>
      </w:r>
      <w:r>
        <w:rPr>
          <w:color w:val="FF0000"/>
        </w:rPr>
        <w:t>] [</w:t>
      </w:r>
      <w:r>
        <w:rPr/>
        <w:t>its Credit Support Provider’s</w:t>
      </w:r>
      <w:r>
        <w:rPr>
          <w:color w:val="FF0000"/>
        </w:rPr>
        <w:t>]</w:t>
      </w:r>
      <w:r>
        <w:rPr/>
        <w:t xml:space="preserve"> Credit Rating is below “BBB-” by S&amp;P </w:t>
      </w:r>
      <w:r>
        <w:rPr>
          <w:color w:val="FF0000"/>
        </w:rPr>
        <w:t>[</w:t>
      </w:r>
      <w:r>
        <w:rPr/>
        <w:t>or below “Baa3” by Moody’s</w:t>
      </w:r>
      <w:r>
        <w:rPr>
          <w:color w:val="FF0000"/>
        </w:rPr>
        <w:t>]</w:t>
      </w:r>
      <w:r>
        <w:rPr/>
        <w:t>, or (b) with respect to Counterparty, in the reasonable opinion of ENA, a material adverse change has occurred in the business, financial condition or operations of Counterparty</w:t>
      </w:r>
      <w:r>
        <w:rPr>
          <w:color w:val="FF0000"/>
        </w:rPr>
        <w:t xml:space="preserve"> [</w:t>
      </w:r>
      <w:r>
        <w:rPr/>
        <w:t>or its Credit Support Provider</w:t>
      </w:r>
      <w:r>
        <w:rPr>
          <w:color w:val="FF0000"/>
        </w:rPr>
        <w:t>]</w:t>
      </w:r>
      <w:r>
        <w:rPr/>
        <w:t>.</w:t>
      </w:r>
    </w:p>
    <w:p>
      <w:pPr>
        <w:pStyle w:val="Normal"/>
        <w:jc w:val="both"/>
        <w:rPr/>
      </w:pPr>
      <w:r>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color w:val="FF0000"/>
          <w:u w:val="single"/>
        </w:rPr>
      </w:pPr>
      <w:r>
        <w:rPr>
          <w:b/>
        </w:rPr>
        <w:tab/>
      </w:r>
      <w:r>
        <w:rPr>
          <w:b/>
          <w:color w:val="FF0000"/>
        </w:rPr>
        <w:t>[</w:t>
      </w:r>
      <w:r>
        <w:rPr>
          <w:b/>
          <w:color w:val="FF0000"/>
          <w:u w:val="single"/>
        </w:rPr>
        <w:t>INSERT IF MAC IS TO BE APPLICABLE TO ONLY COUNTERPARTY (NON-SPECIFIC MAC)</w:t>
      </w:r>
      <w:r>
        <w:rPr>
          <w:b/>
          <w:color w:val="FF0000"/>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color w:val="FF0000"/>
          <w:u w:val="single"/>
        </w:rPr>
      </w:pPr>
      <w:r>
        <w:rPr>
          <w:b/>
          <w:color w:val="FF0000"/>
          <w:u w:val="single"/>
        </w:rPr>
      </w:r>
    </w:p>
    <w:p>
      <w:pPr>
        <w:pStyle w:val="Normal"/>
        <w:spacing w:lineRule="atLeast" w:line="240"/>
        <w:ind w:start="360" w:end="0"/>
        <w:jc w:val="both"/>
        <w:rPr/>
      </w:pPr>
      <w:r>
        <w:rPr>
          <w:i/>
        </w:rPr>
        <w:t>"</w:t>
      </w:r>
      <w:r>
        <w:rPr>
          <w:i/>
          <w:u w:val="single"/>
        </w:rPr>
        <w:t>Material Adverse Change</w:t>
      </w:r>
      <w:r>
        <w:rPr>
          <w:i/>
        </w:rPr>
        <w:t>"</w:t>
      </w:r>
      <w:r>
        <w:rPr/>
        <w:t xml:space="preserve"> means with respect to Counterparty, in the reasonable opinion of ENA, a material adverse change has occurred in the business, financial condition or operations of Counterparty </w:t>
      </w:r>
      <w:r>
        <w:rPr>
          <w:color w:val="FF0000"/>
        </w:rPr>
        <w:t>[</w:t>
      </w:r>
      <w:r>
        <w:rPr/>
        <w:t>or its Credit Support Provider</w:t>
      </w:r>
      <w:r>
        <w:rPr>
          <w:color w:val="FF0000"/>
        </w:rPr>
        <w:t>]</w:t>
      </w:r>
      <w:r>
        <w:rPr/>
        <w:t>.</w:t>
      </w:r>
    </w:p>
    <w:p>
      <w:pPr>
        <w:pStyle w:val="Normal"/>
        <w:spacing w:lineRule="atLeast" w:line="240"/>
        <w:jc w:val="both"/>
        <w:rPr/>
      </w:pPr>
      <w:r>
        <w:rPr/>
      </w:r>
    </w:p>
    <w:p>
      <w:pPr>
        <w:pStyle w:val="Normal"/>
        <w:spacing w:lineRule="atLeast" w:line="240"/>
        <w:ind w:hanging="720" w:start="540" w:end="0"/>
        <w:jc w:val="both"/>
        <w:rPr/>
      </w:pPr>
      <w:r>
        <w:rPr/>
        <w:tab/>
      </w:r>
      <w:r>
        <w:rPr>
          <w:b/>
          <w:color w:val="FF0000"/>
        </w:rPr>
        <w:t>[</w:t>
      </w:r>
      <w:r>
        <w:rPr>
          <w:b/>
          <w:color w:val="FF0000"/>
          <w:u w:val="single"/>
        </w:rPr>
        <w:t>INSERT IF MAC IS TO BE APPLICABLE TO ONLY COUNTERPARTY (CREDIT RATING)</w:t>
      </w:r>
      <w:r>
        <w:rPr>
          <w:b/>
          <w:color w:val="FF0000"/>
        </w:rPr>
        <w:t>]:</w:t>
      </w:r>
    </w:p>
    <w:p>
      <w:pPr>
        <w:pStyle w:val="Normal"/>
        <w:spacing w:lineRule="atLeast" w:line="240"/>
        <w:jc w:val="both"/>
        <w:rPr>
          <w:b/>
          <w:color w:val="FF0000"/>
        </w:rPr>
      </w:pPr>
      <w:r>
        <w:rPr>
          <w:b/>
          <w:color w:val="FF0000"/>
        </w:rPr>
      </w:r>
    </w:p>
    <w:p>
      <w:pPr>
        <w:pStyle w:val="Normal"/>
        <w:spacing w:lineRule="atLeast" w:line="240"/>
        <w:ind w:start="360" w:end="0"/>
        <w:jc w:val="both"/>
        <w:rPr/>
      </w:pPr>
      <w:r>
        <w:rPr>
          <w:i/>
        </w:rPr>
        <w:t>"</w:t>
      </w:r>
      <w:r>
        <w:rPr>
          <w:i/>
          <w:u w:val="single"/>
        </w:rPr>
        <w:t>Material Adverse Change</w:t>
      </w:r>
      <w:r>
        <w:rPr>
          <w:i/>
        </w:rPr>
        <w:t>"</w:t>
      </w:r>
      <w:r>
        <w:rPr/>
        <w:t xml:space="preserve"> means, with respect to Counterparty, </w:t>
      </w:r>
      <w:r>
        <w:rPr>
          <w:color w:val="FF0000"/>
        </w:rPr>
        <w:t>[</w:t>
      </w:r>
      <w:r>
        <w:rPr/>
        <w:t>its</w:t>
      </w:r>
      <w:r>
        <w:rPr>
          <w:color w:val="FF0000"/>
        </w:rPr>
        <w:t>] [</w:t>
      </w:r>
      <w:r>
        <w:rPr/>
        <w:t>its Credit Support Provider’s</w:t>
      </w:r>
      <w:r>
        <w:rPr>
          <w:color w:val="FF0000"/>
        </w:rPr>
        <w:t>]</w:t>
      </w:r>
      <w:r>
        <w:rPr/>
        <w:t xml:space="preserve"> Credit Rating is below “__” by S&amp;P</w:t>
      </w:r>
      <w:r>
        <w:rPr>
          <w:color w:val="FF0000"/>
        </w:rPr>
        <w:t xml:space="preserve"> [</w:t>
      </w:r>
      <w:r>
        <w:rPr/>
        <w:t>or below “__” by Moody’s</w:t>
      </w:r>
      <w:r>
        <w:rPr>
          <w:color w:val="FF0000"/>
        </w:rPr>
        <w:t>]</w:t>
      </w:r>
      <w:r>
        <w:rPr/>
        <w:t>.</w:t>
      </w:r>
    </w:p>
    <w:p>
      <w:pPr>
        <w:pStyle w:val="Normal"/>
        <w:spacing w:lineRule="atLeast" w:line="240"/>
        <w:jc w:val="both"/>
        <w:rPr/>
      </w:pPr>
      <w:r>
        <w:rPr/>
      </w:r>
    </w:p>
    <w:p>
      <w:pPr>
        <w:pStyle w:val="Normal"/>
        <w:spacing w:lineRule="atLeast" w:line="240"/>
        <w:ind w:start="720" w:end="0"/>
        <w:jc w:val="both"/>
        <w:rPr>
          <w:color w:val="FF0000"/>
        </w:rPr>
      </w:pPr>
      <w:r>
        <w:rPr>
          <w:b/>
          <w:color w:val="FF0000"/>
          <w:u w:val="single"/>
        </w:rPr>
        <w:t>[INSERT IF MAC CONTAINS FINANCIAL COVENANTS FOR COUNTERPARTY AND/OR ITS CREDIT SUPPORT PROVIDER AND CREDIT RATING FOR ENA’S CREDIT SUPPORT PROVIDER]</w:t>
      </w:r>
      <w:r>
        <w:rPr>
          <w:b/>
          <w:color w:val="FF0000"/>
        </w:rPr>
        <w:t>:</w:t>
      </w:r>
    </w:p>
    <w:p>
      <w:pPr>
        <w:pStyle w:val="Normal"/>
        <w:spacing w:lineRule="atLeast" w:line="240"/>
        <w:jc w:val="both"/>
        <w:rPr>
          <w:color w:val="FF0000"/>
        </w:rPr>
      </w:pPr>
      <w:r>
        <w:rPr>
          <w:color w:val="FF0000"/>
        </w:rPr>
      </w:r>
    </w:p>
    <w:p>
      <w:pPr>
        <w:pStyle w:val="Normal"/>
        <w:spacing w:lineRule="atLeast" w:line="240"/>
        <w:ind w:start="360" w:end="0"/>
        <w:jc w:val="both"/>
        <w:rPr/>
      </w:pPr>
      <w:r>
        <w:rPr>
          <w:i/>
        </w:rPr>
        <w:t>"</w:t>
      </w:r>
      <w:r>
        <w:rPr>
          <w:i/>
          <w:u w:val="single"/>
        </w:rPr>
        <w:t>Material Adverse Change</w:t>
      </w:r>
      <w:r>
        <w:rPr>
          <w:i/>
        </w:rPr>
        <w:t>"</w:t>
      </w:r>
      <w:r>
        <w:rPr/>
        <w:t xml:space="preserve"> means (a) with respect to Counterparty, </w:t>
      </w:r>
      <w:r>
        <w:rPr>
          <w:color w:val="FF0000"/>
        </w:rPr>
        <w:t>[</w:t>
      </w:r>
      <w:r>
        <w:rPr/>
        <w:t>it</w:t>
      </w:r>
      <w:r>
        <w:rPr>
          <w:color w:val="FF0000"/>
        </w:rPr>
        <w:t>] [</w:t>
      </w:r>
      <w:r>
        <w:rPr/>
        <w:t>its Credit Support Provider</w:t>
      </w:r>
      <w:r>
        <w:rPr>
          <w:color w:val="FF0000"/>
        </w:rPr>
        <w:t>]</w:t>
      </w:r>
      <w:r>
        <w:rPr/>
        <w:t xml:space="preserve"> shall have any of the following occur at any time:  </w:t>
      </w:r>
      <w:r>
        <w:rPr>
          <w:color w:val="FF0000"/>
        </w:rPr>
        <w:t>[</w:t>
      </w:r>
      <w:r>
        <w:rPr/>
        <w:t>(i) the ratio of its Funded Debt to Net Worth is more than _____ to _____, or (ii) its Net Worth falls below $</w:t>
      </w:r>
      <w:r>
        <w:rPr>
          <w:u w:val="single"/>
        </w:rPr>
        <w:tab/>
        <w:tab/>
      </w:r>
      <w:r>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rPr>
        <w:t>[INSERT OTHER APPROPRIATE FINANCIAL COVENANTS]</w:t>
      </w:r>
      <w:r>
        <w:rPr/>
        <w:t xml:space="preserve">; or (b) with respect to ENA, </w:t>
      </w:r>
      <w:r>
        <w:rPr>
          <w:color w:val="FF0000"/>
        </w:rPr>
        <w:t>[</w:t>
      </w:r>
      <w:r>
        <w:rPr/>
        <w:t>Enron Corp.’s</w:t>
      </w:r>
      <w:r>
        <w:rPr>
          <w:color w:val="FF0000"/>
        </w:rPr>
        <w:t>][</w:t>
      </w:r>
      <w:r>
        <w:rPr/>
        <w:t>its Credit Support Provider’s</w:t>
      </w:r>
      <w:r>
        <w:rPr>
          <w:color w:val="FF0000"/>
        </w:rPr>
        <w:t xml:space="preserve">] </w:t>
      </w:r>
      <w:r>
        <w:rPr/>
        <w:t xml:space="preserve">Credit Rating is below “BBB-” by S&amp;P </w:t>
      </w:r>
      <w:r>
        <w:rPr>
          <w:color w:val="FF0000"/>
        </w:rPr>
        <w:t>[</w:t>
      </w:r>
      <w:r>
        <w:rPr/>
        <w:t>or below “Baa3” by Moody’s</w:t>
      </w:r>
      <w:r>
        <w:rPr>
          <w:color w:val="FF0000"/>
        </w:rPr>
        <w:t>]</w:t>
      </w:r>
      <w:r>
        <w:rPr/>
        <w:t>.</w:t>
      </w:r>
    </w:p>
    <w:p>
      <w:pPr>
        <w:pStyle w:val="Normal"/>
        <w:spacing w:lineRule="atLeast" w:line="240"/>
        <w:jc w:val="both"/>
        <w:rPr/>
      </w:pPr>
      <w:r>
        <w:rPr/>
      </w:r>
    </w:p>
    <w:p>
      <w:pPr>
        <w:pStyle w:val="Normal"/>
        <w:spacing w:lineRule="atLeast" w:line="240"/>
        <w:jc w:val="center"/>
        <w:rPr>
          <w:color w:val="FF0000"/>
        </w:rPr>
      </w:pPr>
      <w:r>
        <w:rPr>
          <w:b/>
          <w:color w:val="FF0000"/>
        </w:rPr>
        <w:t>[</w:t>
      </w:r>
      <w:r>
        <w:rPr>
          <w:b/>
          <w:color w:val="FF0000"/>
          <w:u w:val="single"/>
        </w:rPr>
        <w:t>ADDITIONAL DEFINITIONS TO BE INSERTED AS APPROPRIATE</w:t>
      </w:r>
      <w:r>
        <w:rPr>
          <w:b/>
          <w:color w:val="FF0000"/>
        </w:rPr>
        <w:t>]</w:t>
      </w:r>
    </w:p>
    <w:p>
      <w:pPr>
        <w:pStyle w:val="Normal"/>
        <w:spacing w:lineRule="atLeast" w:line="240"/>
        <w:jc w:val="both"/>
        <w:rPr>
          <w:color w:val="FF0000"/>
        </w:rPr>
      </w:pPr>
      <w:r>
        <w:rPr>
          <w:color w:val="FF0000"/>
        </w:rPr>
      </w:r>
    </w:p>
    <w:p>
      <w:pPr>
        <w:pStyle w:val="Normal"/>
        <w:ind w:start="360" w:end="0"/>
        <w:jc w:val="both"/>
        <w:rPr/>
      </w:pPr>
      <w:r>
        <w:rPr>
          <w:i/>
        </w:rPr>
        <w:t>"</w:t>
      </w:r>
      <w:r>
        <w:rPr>
          <w:i/>
          <w:u w:val="single"/>
        </w:rPr>
        <w:t>Cash Flow</w:t>
      </w:r>
      <w:r>
        <w:rPr>
          <w:i/>
        </w:rPr>
        <w:t>"</w:t>
      </w:r>
      <w:r>
        <w:rPr/>
        <w:t xml:space="preserve"> means Net Income plus depreciation and non-cash charges from the consolidated income statement of </w:t>
      </w:r>
      <w:r>
        <w:rPr>
          <w:color w:val="FF0000"/>
        </w:rPr>
        <w:t>[</w:t>
      </w:r>
      <w:r>
        <w:rPr/>
        <w:t>Counterparty</w:t>
      </w:r>
      <w:r>
        <w:rPr>
          <w:color w:val="FF0000"/>
        </w:rPr>
        <w:t>][</w:t>
      </w:r>
      <w:r>
        <w:rPr/>
        <w:t>Counterparty's Credit Support Provider</w:t>
      </w:r>
      <w:r>
        <w:rPr>
          <w:color w:val="FF0000"/>
        </w:rPr>
        <w:t>]</w:t>
      </w:r>
      <w:r>
        <w:rPr/>
        <w:t xml:space="preserve"> prepared in accordance with GAAP.</w:t>
      </w:r>
    </w:p>
    <w:p>
      <w:pPr>
        <w:pStyle w:val="Normal"/>
        <w:jc w:val="both"/>
        <w:rPr/>
      </w:pPr>
      <w:r>
        <w:rPr/>
      </w:r>
    </w:p>
    <w:p>
      <w:pPr>
        <w:pStyle w:val="Normal"/>
        <w:ind w:start="360" w:end="0"/>
        <w:jc w:val="both"/>
        <w:rPr>
          <w:b/>
        </w:rPr>
      </w:pPr>
      <w:r>
        <w:rPr>
          <w:i/>
        </w:rPr>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ind w:start="360" w:end="0"/>
        <w:jc w:val="both"/>
        <w:rPr/>
      </w:pPr>
      <w:r>
        <w:rPr>
          <w:i/>
        </w:rPr>
        <w:t>"</w:t>
      </w:r>
      <w:r>
        <w:rPr>
          <w:i/>
          <w:u w:val="single"/>
        </w:rPr>
        <w:t>Current Assets</w:t>
      </w:r>
      <w:r>
        <w:rPr>
          <w:i/>
        </w:rPr>
        <w:t>"</w:t>
      </w:r>
      <w:r>
        <w:rPr/>
        <w:t xml:space="preserve"> means consolidated current assets of </w:t>
      </w:r>
      <w:r>
        <w:rPr>
          <w:color w:val="FF0000"/>
        </w:rPr>
        <w:t>[</w:t>
      </w:r>
      <w:r>
        <w:rPr/>
        <w:t>Counterparty</w:t>
      </w:r>
      <w:r>
        <w:rPr>
          <w:color w:val="FF0000"/>
        </w:rPr>
        <w:t>] [</w:t>
      </w:r>
      <w:r>
        <w:rPr/>
        <w:t>Counterparty’s Credit Support Provider</w:t>
      </w:r>
      <w:r>
        <w:rPr>
          <w:color w:val="FF0000"/>
        </w:rPr>
        <w:t>]</w:t>
      </w:r>
      <w:r>
        <w:rPr/>
        <w:t xml:space="preserve"> as would be reflected on a consolidated balance sheet of </w:t>
      </w:r>
      <w:r>
        <w:rPr>
          <w:color w:val="FF0000"/>
        </w:rPr>
        <w:t>[</w:t>
      </w:r>
      <w:r>
        <w:rPr/>
        <w:t>Counterparty</w:t>
      </w:r>
      <w:r>
        <w:rPr>
          <w:color w:val="FF0000"/>
        </w:rPr>
        <w:t>] [</w:t>
      </w:r>
      <w:r>
        <w:rPr/>
        <w:t>Counterparty’s Credit Support Provider</w:t>
      </w:r>
      <w:r>
        <w:rPr>
          <w:color w:val="FF0000"/>
        </w:rPr>
        <w:t>]</w:t>
      </w:r>
      <w:r>
        <w:rPr/>
        <w:t xml:space="preserve"> prepared in accordance with GAAP.</w:t>
      </w:r>
    </w:p>
    <w:p>
      <w:pPr>
        <w:pStyle w:val="Normal"/>
        <w:jc w:val="both"/>
        <w:rPr/>
      </w:pPr>
      <w:r>
        <w:rPr/>
      </w:r>
    </w:p>
    <w:p>
      <w:pPr>
        <w:pStyle w:val="Normal"/>
        <w:ind w:start="360" w:end="0"/>
        <w:jc w:val="both"/>
        <w:rPr/>
      </w:pPr>
      <w:r>
        <w:rPr>
          <w:i/>
        </w:rPr>
        <w:t>"</w:t>
      </w:r>
      <w:r>
        <w:rPr>
          <w:i/>
          <w:u w:val="single"/>
        </w:rPr>
        <w:t>Current Liabilities</w:t>
      </w:r>
      <w:r>
        <w:rPr>
          <w:i/>
        </w:rPr>
        <w:t>"</w:t>
      </w:r>
      <w:r>
        <w:rPr/>
        <w:t xml:space="preserve"> means consolidated current liabilities of </w:t>
      </w:r>
      <w:r>
        <w:rPr>
          <w:color w:val="FF0000"/>
        </w:rPr>
        <w:t>[</w:t>
      </w:r>
      <w:r>
        <w:rPr/>
        <w:t>Counterparty</w:t>
      </w:r>
      <w:r>
        <w:rPr>
          <w:color w:val="FF0000"/>
        </w:rPr>
        <w:t>] [</w:t>
      </w:r>
      <w:r>
        <w:rPr/>
        <w:t>Counterparty’s Credit Support Provider</w:t>
      </w:r>
      <w:r>
        <w:rPr>
          <w:color w:val="FF0000"/>
        </w:rPr>
        <w:t>]</w:t>
      </w:r>
      <w:r>
        <w:rPr/>
        <w:t xml:space="preserve"> as would be reflected on a consolidated balance sheet of </w:t>
      </w:r>
      <w:r>
        <w:rPr>
          <w:color w:val="FF0000"/>
        </w:rPr>
        <w:t>[</w:t>
      </w:r>
      <w:r>
        <w:rPr/>
        <w:t>Counterparty</w:t>
      </w:r>
      <w:r>
        <w:rPr>
          <w:color w:val="FF0000"/>
        </w:rPr>
        <w:t>] [</w:t>
      </w:r>
      <w:r>
        <w:rPr/>
        <w:t>Counterparty’s Credit Support Provider</w:t>
      </w:r>
      <w:r>
        <w:rPr>
          <w:color w:val="FF0000"/>
        </w:rPr>
        <w:t>]</w:t>
      </w:r>
      <w:r>
        <w:rPr/>
        <w:t xml:space="preserve"> prepared in accordance with GAAP.</w:t>
      </w:r>
    </w:p>
    <w:p>
      <w:pPr>
        <w:pStyle w:val="Normal"/>
        <w:jc w:val="both"/>
        <w:rPr/>
      </w:pPr>
      <w:r>
        <w:rPr/>
      </w:r>
    </w:p>
    <w:p>
      <w:pPr>
        <w:pStyle w:val="Normal"/>
        <w:ind w:start="360" w:end="0"/>
        <w:jc w:val="both"/>
        <w:rPr/>
      </w:pPr>
      <w:r>
        <w:rPr>
          <w:i/>
        </w:rPr>
        <w:t>"</w:t>
      </w:r>
      <w:r>
        <w:rPr>
          <w:i/>
          <w:u w:val="single"/>
        </w:rPr>
        <w:t>Current Maturities of Long Term Debt</w:t>
      </w:r>
      <w:r>
        <w:rPr>
          <w:i/>
        </w:rPr>
        <w:t xml:space="preserve">" </w:t>
      </w:r>
      <w:r>
        <w:rPr/>
        <w:t xml:space="preserve">means payments required by third party lenders on consolidated long term debt of </w:t>
      </w:r>
      <w:r>
        <w:rPr>
          <w:color w:val="FF0000"/>
        </w:rPr>
        <w:t>[</w:t>
      </w:r>
      <w:r>
        <w:rPr/>
        <w:t>Counterparty</w:t>
      </w:r>
      <w:r>
        <w:rPr>
          <w:color w:val="FF0000"/>
        </w:rPr>
        <w:t>] [</w:t>
      </w:r>
      <w:r>
        <w:rPr/>
        <w:t>Counterparty's Credit Support Provider</w:t>
      </w:r>
      <w:r>
        <w:rPr>
          <w:color w:val="FF0000"/>
        </w:rPr>
        <w:t>]</w:t>
      </w:r>
      <w:r>
        <w:rPr/>
        <w:t xml:space="preserve"> within the next twelve (12) calendar months determined in accordance with GAAP.</w:t>
      </w:r>
    </w:p>
    <w:p>
      <w:pPr>
        <w:pStyle w:val="Normal"/>
        <w:jc w:val="both"/>
        <w:rPr/>
      </w:pPr>
      <w:r>
        <w:rPr/>
      </w:r>
    </w:p>
    <w:p>
      <w:pPr>
        <w:pStyle w:val="Normal"/>
        <w:ind w:start="360" w:end="0"/>
        <w:jc w:val="both"/>
        <w:rPr/>
      </w:pPr>
      <w:r>
        <w:rPr>
          <w:i/>
        </w:rPr>
        <w:t>"</w:t>
      </w:r>
      <w:r>
        <w:rPr>
          <w:i/>
          <w:u w:val="single"/>
        </w:rPr>
        <w:t>DBRS</w:t>
      </w:r>
      <w:r>
        <w:rPr>
          <w:i/>
        </w:rPr>
        <w:t xml:space="preserve">" </w:t>
      </w:r>
      <w:r>
        <w:rPr/>
        <w:t>means Dominion Bond Rating Service Limited, or its successor.</w:t>
      </w:r>
    </w:p>
    <w:p>
      <w:pPr>
        <w:pStyle w:val="Normal"/>
        <w:jc w:val="both"/>
        <w:rPr/>
      </w:pPr>
      <w:r>
        <w:rPr/>
      </w:r>
    </w:p>
    <w:p>
      <w:pPr>
        <w:pStyle w:val="Normal"/>
        <w:ind w:start="360" w:end="144"/>
        <w:jc w:val="both"/>
        <w:rPr/>
      </w:pPr>
      <w:r>
        <w:rPr>
          <w:i/>
        </w:rPr>
        <w:t>"</w:t>
      </w:r>
      <w:r>
        <w:rPr>
          <w:i/>
          <w:u w:val="single"/>
        </w:rPr>
        <w:t>Funded Debt</w:t>
      </w:r>
      <w:r>
        <w:rPr>
          <w:i/>
        </w:rPr>
        <w:t>"</w:t>
      </w:r>
      <w:r>
        <w:rPr/>
        <w:t xml:space="preserve"> means consolidated indebtedness of </w:t>
      </w:r>
      <w:r>
        <w:rPr>
          <w:color w:val="FF0000"/>
        </w:rPr>
        <w:t>[</w:t>
      </w:r>
      <w:r>
        <w:rPr/>
        <w:t>Counterparty</w:t>
      </w:r>
      <w:r>
        <w:rPr>
          <w:color w:val="FF0000"/>
        </w:rPr>
        <w:t>] [</w:t>
      </w:r>
      <w:r>
        <w:rPr/>
        <w:t>Counterparty’s Credit Support Provider</w:t>
      </w:r>
      <w:r>
        <w:rPr>
          <w:color w:val="FF0000"/>
        </w:rPr>
        <w:t>]</w:t>
      </w:r>
      <w:r>
        <w:rPr/>
        <w:t xml:space="preserve"> which by its terms matures more than one year from the date as of which any calculation of Funded Debt is made.</w:t>
      </w:r>
    </w:p>
    <w:p>
      <w:pPr>
        <w:pStyle w:val="Normal"/>
        <w:jc w:val="both"/>
        <w:rPr/>
      </w:pPr>
      <w:r>
        <w:rPr/>
      </w:r>
    </w:p>
    <w:p>
      <w:pPr>
        <w:pStyle w:val="Normal"/>
        <w:ind w:start="360" w:end="0"/>
        <w:jc w:val="both"/>
        <w:rPr/>
      </w:pPr>
      <w:r>
        <w:rPr>
          <w:i/>
        </w:rPr>
        <w:t>"</w:t>
      </w:r>
      <w:r>
        <w:rPr>
          <w:i/>
          <w:u w:val="single"/>
        </w:rPr>
        <w:t>GAAP</w:t>
      </w:r>
      <w:r>
        <w:rPr>
          <w:i/>
        </w:rPr>
        <w:t>"</w:t>
      </w:r>
      <w:r>
        <w:rPr/>
        <w:t xml:space="preserve"> means generally accepted accounting principles that are generally accepted in the country in which the applicable party is organized and on a basis consistent with prior periods.</w:t>
      </w:r>
    </w:p>
    <w:p>
      <w:pPr>
        <w:pStyle w:val="Normal"/>
        <w:jc w:val="both"/>
        <w:rPr/>
      </w:pPr>
      <w:r>
        <w:rPr/>
      </w:r>
    </w:p>
    <w:p>
      <w:pPr>
        <w:pStyle w:val="Normal"/>
        <w:ind w:start="360" w:end="0"/>
        <w:jc w:val="both"/>
        <w:rPr/>
      </w:pPr>
      <w:r>
        <w:rPr>
          <w:i/>
        </w:rPr>
        <w:t>"</w:t>
      </w:r>
      <w:r>
        <w:rPr>
          <w:i/>
          <w:u w:val="single"/>
        </w:rPr>
        <w:t>Moody’s</w:t>
      </w:r>
      <w:r>
        <w:rPr>
          <w:i/>
        </w:rPr>
        <w:t>"</w:t>
      </w:r>
      <w:r>
        <w:rPr/>
        <w:t xml:space="preserve"> means Moody’s Investors Service, Inc. or its successor.</w:t>
      </w:r>
    </w:p>
    <w:p>
      <w:pPr>
        <w:pStyle w:val="Normal"/>
        <w:jc w:val="both"/>
        <w:rPr/>
      </w:pPr>
      <w:r>
        <w:rPr/>
      </w:r>
    </w:p>
    <w:p>
      <w:pPr>
        <w:pStyle w:val="Normal"/>
        <w:ind w:start="360" w:end="0"/>
        <w:jc w:val="both"/>
        <w:rPr/>
      </w:pPr>
      <w:r>
        <w:rPr>
          <w:i/>
        </w:rPr>
        <w:t>"</w:t>
      </w:r>
      <w:r>
        <w:rPr>
          <w:i/>
          <w:u w:val="single"/>
        </w:rPr>
        <w:t>Net Income</w:t>
      </w:r>
      <w:r>
        <w:rPr>
          <w:i/>
        </w:rPr>
        <w:t>"</w:t>
      </w:r>
      <w:r>
        <w:rPr/>
        <w:t xml:space="preserve"> means consolidated gross revenues of </w:t>
      </w:r>
      <w:r>
        <w:rPr>
          <w:color w:val="FF0000"/>
        </w:rPr>
        <w:t>[</w:t>
      </w:r>
      <w:r>
        <w:rPr/>
        <w:t>Counterparty</w:t>
      </w:r>
      <w:r>
        <w:rPr>
          <w:color w:val="FF0000"/>
        </w:rPr>
        <w:t>] [</w:t>
      </w:r>
      <w:r>
        <w:rPr/>
        <w:t>Counterparty’s Credit Support Provider</w:t>
      </w:r>
      <w:r>
        <w:rPr>
          <w:color w:val="FF0000"/>
        </w:rPr>
        <w:t>]</w:t>
      </w:r>
      <w:r>
        <w:rPr/>
        <w:t xml:space="preserve"> and other proper income credits, less all proper income charges, including taxes on income, all determined in accordance with GAAP.</w:t>
      </w:r>
    </w:p>
    <w:p>
      <w:pPr>
        <w:pStyle w:val="Normal"/>
        <w:jc w:val="both"/>
        <w:rPr/>
      </w:pPr>
      <w:r>
        <w:rPr/>
      </w:r>
    </w:p>
    <w:p>
      <w:pPr>
        <w:pStyle w:val="Normal"/>
        <w:ind w:start="360" w:end="144"/>
        <w:jc w:val="both"/>
        <w:rPr/>
      </w:pPr>
      <w:r>
        <w:rPr>
          <w:i/>
        </w:rPr>
        <w:t>"</w:t>
      </w:r>
      <w:r>
        <w:rPr>
          <w:i/>
          <w:u w:val="single"/>
        </w:rPr>
        <w:t>Net Worth</w:t>
      </w:r>
      <w:r>
        <w:rPr>
          <w:i/>
        </w:rPr>
        <w:t>"</w:t>
      </w:r>
      <w:r>
        <w:rPr/>
        <w:t xml:space="preserve"> means consolidated total assets of </w:t>
      </w:r>
      <w:r>
        <w:rPr>
          <w:color w:val="FF0000"/>
        </w:rPr>
        <w:t>[</w:t>
      </w:r>
      <w:r>
        <w:rPr/>
        <w:t>Counterparty</w:t>
      </w:r>
      <w:r>
        <w:rPr>
          <w:color w:val="FF0000"/>
        </w:rPr>
        <w:t>] [</w:t>
      </w:r>
      <w:r>
        <w:rPr/>
        <w:t>Counterparty’s Credit Support Provider</w:t>
      </w:r>
      <w:r>
        <w:rPr>
          <w:color w:val="FF0000"/>
        </w:rPr>
        <w:t>]</w:t>
      </w:r>
      <w:r>
        <w:rPr/>
        <w:t xml:space="preserve"> (exclusive of intangible assets), minus consolidated total liabilities of </w:t>
      </w:r>
      <w:r>
        <w:rPr>
          <w:color w:val="FF0000"/>
        </w:rPr>
        <w:t>[</w:t>
      </w:r>
      <w:r>
        <w:rPr/>
        <w:t>Counterparty</w:t>
      </w:r>
      <w:r>
        <w:rPr>
          <w:color w:val="FF0000"/>
        </w:rPr>
        <w:t>] [</w:t>
      </w:r>
      <w:r>
        <w:rPr/>
        <w:t>Counterparty’s Credit Support Provider</w:t>
      </w:r>
      <w:r>
        <w:rPr>
          <w:color w:val="FF0000"/>
        </w:rPr>
        <w:t>]</w:t>
      </w:r>
      <w:r>
        <w:rPr/>
        <w:t xml:space="preserve">, each as would be reflected on a consolidated balance sheet of </w:t>
      </w:r>
      <w:r>
        <w:rPr>
          <w:color w:val="FF0000"/>
        </w:rPr>
        <w:t>[</w:t>
      </w:r>
      <w:r>
        <w:rPr/>
        <w:t>Counterparty</w:t>
      </w:r>
      <w:r>
        <w:rPr>
          <w:color w:val="FF0000"/>
        </w:rPr>
        <w:t>]</w:t>
      </w:r>
      <w:r>
        <w:rPr/>
        <w:t xml:space="preserve"> </w:t>
      </w:r>
      <w:r>
        <w:rPr>
          <w:color w:val="FF0000"/>
        </w:rPr>
        <w:t>[</w:t>
      </w:r>
      <w:r>
        <w:rPr/>
        <w:t>Counterparty’s Credit Support Provider</w:t>
      </w:r>
      <w:r>
        <w:rPr>
          <w:color w:val="FF0000"/>
        </w:rPr>
        <w:t>]</w:t>
      </w:r>
      <w:r>
        <w:rPr/>
        <w:t xml:space="preserve"> prepared in accordance with GAAP.</w:t>
      </w:r>
    </w:p>
    <w:p>
      <w:pPr>
        <w:pStyle w:val="Normal"/>
        <w:ind w:end="144"/>
        <w:jc w:val="both"/>
        <w:rPr/>
      </w:pPr>
      <w:r>
        <w:rPr/>
      </w:r>
    </w:p>
    <w:p>
      <w:pPr>
        <w:pStyle w:val="Normal"/>
        <w:ind w:start="360" w:end="0"/>
        <w:jc w:val="both"/>
        <w:rPr/>
      </w:pPr>
      <w:r>
        <w:rPr>
          <w:i/>
        </w:rPr>
        <w:t>"</w:t>
      </w:r>
      <w:r>
        <w:rPr>
          <w:i/>
          <w:u w:val="single"/>
        </w:rPr>
        <w:t>S&amp;P</w:t>
      </w:r>
      <w:r>
        <w:rPr>
          <w:i/>
        </w:rPr>
        <w:t>"</w:t>
      </w:r>
      <w:r>
        <w:rPr/>
        <w:t xml:space="preserve"> means the Standard &amp; Poor’s Rating Group (a division of McGraw-Hill, Inc.) or its successor.</w:t>
      </w:r>
    </w:p>
    <w:p>
      <w:pPr>
        <w:pStyle w:val="Normal"/>
        <w:ind w:start="360" w:end="0"/>
        <w:jc w:val="both"/>
        <w:rPr/>
      </w:pPr>
      <w:r>
        <w:rPr/>
      </w:r>
    </w:p>
    <w:p>
      <w:pPr>
        <w:pStyle w:val="Normal"/>
        <w:spacing w:lineRule="atLeast" w:line="240"/>
        <w:ind w:start="360" w:end="144"/>
        <w:jc w:val="both"/>
        <w:rPr/>
      </w:pPr>
      <w:r>
        <w:rPr>
          <w:i/>
          <w:iCs/>
          <w:szCs w:val="22"/>
        </w:rPr>
        <w:t>“</w:t>
      </w:r>
      <w:r>
        <w:rPr>
          <w:i/>
          <w:iCs/>
          <w:szCs w:val="22"/>
          <w:u w:val="single"/>
        </w:rPr>
        <w:t>Total Debt</w:t>
      </w:r>
      <w:r>
        <w:rPr>
          <w:i/>
        </w:rPr>
        <w:t>"</w:t>
      </w:r>
      <w:r>
        <w:rPr>
          <w:szCs w:val="22"/>
        </w:rPr>
        <w:t xml:space="preserve"> means consolidated indebtedness of </w:t>
      </w:r>
      <w:r>
        <w:rPr>
          <w:color w:val="FF0000"/>
          <w:szCs w:val="22"/>
        </w:rPr>
        <w:t>[</w:t>
      </w:r>
      <w:r>
        <w:rPr>
          <w:szCs w:val="22"/>
        </w:rPr>
        <w:t>Counterparty</w:t>
      </w:r>
      <w:r>
        <w:rPr>
          <w:color w:val="FF0000"/>
          <w:szCs w:val="22"/>
        </w:rPr>
        <w:t>] [</w:t>
      </w:r>
      <w:r>
        <w:rPr>
          <w:szCs w:val="22"/>
        </w:rPr>
        <w:t>Counterparty’s Credit Support Provider</w:t>
      </w:r>
      <w:r>
        <w:rPr>
          <w:color w:val="FF0000"/>
          <w:szCs w:val="22"/>
        </w:rPr>
        <w:t>]</w:t>
      </w:r>
      <w:r>
        <w:rPr>
          <w:szCs w:val="22"/>
        </w:rPr>
        <w:t>.</w:t>
      </w:r>
    </w:p>
    <w:p>
      <w:pPr>
        <w:pStyle w:val="Normal"/>
        <w:ind w:start="360" w:end="0"/>
        <w:jc w:val="both"/>
        <w:rPr>
          <w:szCs w:val="22"/>
        </w:rPr>
      </w:pPr>
      <w:r>
        <w:rPr>
          <w:szCs w:val="22"/>
        </w:rPr>
      </w:r>
    </w:p>
    <w:p>
      <w:pPr>
        <w:pStyle w:val="Normal"/>
        <w:jc w:val="both"/>
        <w:rPr/>
      </w:pPr>
      <w:r>
        <w:rPr/>
      </w:r>
    </w:p>
    <w:p>
      <w:pPr>
        <w:pStyle w:val="Normal"/>
        <w:keepNext w:val="true"/>
        <w:spacing w:lineRule="atLeast" w:line="240"/>
        <w:jc w:val="both"/>
        <w:rPr>
          <w:b/>
          <w:color w:val="FF0000"/>
        </w:rPr>
      </w:pPr>
      <w:r>
        <w:rPr>
          <w:b/>
          <w:color w:val="FF0000"/>
        </w:rPr>
        <w:t>[EBIDTA LANGUAGE - INSERT ALL THE DEFINITIONS BELOW:</w:t>
      </w:r>
    </w:p>
    <w:p>
      <w:pPr>
        <w:pStyle w:val="Normal"/>
        <w:keepNext w:val="true"/>
        <w:spacing w:lineRule="exact" w:line="240" w:before="240" w:after="0"/>
        <w:ind w:start="360" w:end="144"/>
        <w:jc w:val="both"/>
        <w:rPr>
          <w:i/>
          <w:i/>
        </w:rPr>
      </w:pPr>
      <w:r>
        <w:rPr>
          <w:i/>
        </w:rPr>
        <w:t>"</w:t>
      </w:r>
      <w:r>
        <w:rPr>
          <w:i/>
          <w:u w:val="single"/>
        </w:rPr>
        <w:t>Depreciation, Depletion and Amortization Expense</w:t>
      </w:r>
      <w:r>
        <w:rPr>
          <w:i/>
        </w:rPr>
        <w:t>"</w:t>
      </w:r>
      <w:r>
        <w:rPr/>
        <w:t xml:space="preserve"> means, with respect to </w:t>
      </w:r>
      <w:r>
        <w:rPr>
          <w:color w:val="FF0000"/>
        </w:rPr>
        <w:t>[</w:t>
      </w:r>
      <w:r>
        <w:rPr/>
        <w:t>Counterparty</w:t>
      </w:r>
      <w:r>
        <w:rPr>
          <w:color w:val="FF0000"/>
        </w:rPr>
        <w:t>][</w:t>
      </w:r>
      <w:r>
        <w:rPr/>
        <w:t>Counterparty’s Credit Support Provider</w:t>
      </w:r>
      <w:r>
        <w:rPr>
          <w:color w:val="FF0000"/>
        </w:rPr>
        <w:t>]</w:t>
      </w:r>
      <w:r>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rPr>
      </w:pPr>
      <w:r>
        <w:rPr>
          <w:b/>
          <w:i/>
        </w:rPr>
      </w:r>
    </w:p>
    <w:p>
      <w:pPr>
        <w:pStyle w:val="BodyText"/>
        <w:ind w:start="360" w:end="144"/>
        <w:rPr/>
      </w:pPr>
      <w:r>
        <w:rPr>
          <w:i/>
        </w:rPr>
        <w:t>"</w:t>
      </w:r>
      <w:r>
        <w:rPr>
          <w:i/>
          <w:u w:val="single"/>
        </w:rPr>
        <w:t>EBITDA</w:t>
      </w:r>
      <w:r>
        <w:rPr>
          <w:i/>
        </w:rPr>
        <w:t>"</w:t>
      </w:r>
      <w:r>
        <w:rPr/>
        <w:t xml:space="preserve"> means, with respect to </w:t>
      </w:r>
      <w:r>
        <w:rPr>
          <w:color w:val="FF0000"/>
        </w:rPr>
        <w:t>[</w:t>
      </w:r>
      <w:r>
        <w:rPr/>
        <w:t>Counterparty</w:t>
      </w:r>
      <w:r>
        <w:rPr>
          <w:color w:val="FF0000"/>
        </w:rPr>
        <w:t>][</w:t>
      </w:r>
      <w:r>
        <w:rPr/>
        <w:t>Counterparty’s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360" w:end="144"/>
        <w:jc w:val="both"/>
        <w:rPr/>
      </w:pPr>
      <w:r>
        <w:rPr>
          <w:i/>
        </w:rPr>
        <w:t>"</w:t>
      </w:r>
      <w:r>
        <w:rPr>
          <w:i/>
          <w:u w:val="single"/>
        </w:rPr>
        <w:t>EBITDA Coverage Ratio</w:t>
      </w:r>
      <w:r>
        <w:rPr>
          <w:i/>
        </w:rPr>
        <w:t>"</w:t>
      </w:r>
      <w:r>
        <w:rPr/>
        <w:t xml:space="preserve"> means, with respect to any period, the ratio of (i) EBITDA for such period to (ii) the aggregate amount of Interest Expense for such period.</w:t>
      </w:r>
    </w:p>
    <w:p>
      <w:pPr>
        <w:pStyle w:val="Normal"/>
        <w:spacing w:lineRule="exact" w:line="240" w:before="240" w:after="0"/>
        <w:ind w:start="360" w:end="144"/>
        <w:jc w:val="both"/>
        <w:rPr/>
      </w:pPr>
      <w:r>
        <w:rPr>
          <w:i/>
        </w:rPr>
        <w:t>"</w:t>
      </w:r>
      <w:r>
        <w:rPr>
          <w:i/>
          <w:u w:val="single"/>
        </w:rPr>
        <w:t>Interest Expense</w:t>
      </w:r>
      <w:r>
        <w:rPr>
          <w:i/>
        </w:rPr>
        <w:t>"</w:t>
      </w:r>
      <w:r>
        <w:rPr/>
        <w:t xml:space="preserve"> means, for any period, without duplication, the total consolidated interest expense of </w:t>
      </w:r>
      <w:r>
        <w:rPr>
          <w:color w:val="FF0000"/>
        </w:rPr>
        <w:t>[</w:t>
      </w:r>
      <w:r>
        <w:rPr/>
        <w:t>Counterparty</w:t>
      </w:r>
      <w:r>
        <w:rPr>
          <w:color w:val="FF0000"/>
        </w:rPr>
        <w:t>][</w:t>
      </w:r>
      <w:r>
        <w:rPr/>
        <w:t>Counterparty’s Credit Support Provider</w:t>
      </w:r>
      <w:r>
        <w:rPr>
          <w:color w:val="FF0000"/>
        </w:rPr>
        <w:t>]</w:t>
      </w:r>
      <w:r>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Heading3"/>
        <w:ind w:hanging="0" w:start="0"/>
        <w:rPr>
          <w:sz w:val="20"/>
        </w:rPr>
      </w:pPr>
      <w:r>
        <w:rPr>
          <w:sz w:val="20"/>
        </w:rPr>
        <w:t>For EBIDTA, in addition to the definitions above, add our standard definition for “Net Income”]</w:t>
      </w:r>
    </w:p>
    <w:p>
      <w:pPr>
        <w:pStyle w:val="Normal"/>
        <w:spacing w:lineRule="atLeast" w:line="24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rPr>
        <w:t>•</w:t>
      </w:r>
      <w:r>
        <w:rPr>
          <w:b/>
        </w:rPr>
        <w:tab/>
      </w:r>
      <w:r>
        <w:rPr>
          <w:b/>
          <w:color w:val="FF0000"/>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u w:val="single"/>
        </w:rPr>
      </w:pPr>
      <w:r>
        <w:rPr>
          <w:b/>
          <w:color w:val="FF0000"/>
        </w:rPr>
        <w:tab/>
        <w:t>[</w:t>
      </w:r>
      <w:r>
        <w:rPr>
          <w:b/>
          <w:color w:val="FF0000"/>
          <w:u w:val="single"/>
        </w:rPr>
        <w:t>INSERT IF A GUARANTOR SUPPORTING COUNTERPARTY'S OBLIGATIONS ONLY</w:t>
      </w:r>
      <w:r>
        <w:rPr>
          <w:b/>
          <w:color w:val="FF0000"/>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u w:val="single"/>
        </w:rPr>
      </w:pPr>
      <w:r>
        <w:rPr>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rPr>
        <w:t>"</w:t>
      </w:r>
      <w:r>
        <w:rPr>
          <w:i/>
          <w:u w:val="single"/>
        </w:rPr>
        <w:t>Credit Support Provider</w:t>
      </w:r>
      <w:r>
        <w:rPr>
          <w:i/>
        </w:rPr>
        <w:t>"</w:t>
      </w:r>
      <w:r>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tab/>
      </w:r>
      <w:r>
        <w:rPr>
          <w:b/>
          <w:color w:val="FF0000"/>
        </w:rPr>
        <w:t>[</w:t>
      </w:r>
      <w:r>
        <w:rPr>
          <w:b/>
          <w:color w:val="FF0000"/>
          <w:u w:val="single"/>
        </w:rPr>
        <w:t>INSERT IF A GUARANTOR SUPPORTING ENA'S OBLIGATIONS ONLY</w:t>
      </w:r>
      <w:r>
        <w:rPr>
          <w:b/>
          <w:color w:val="FF0000"/>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b/>
          <w:color w:val="FF0000"/>
        </w:rPr>
      </w:pPr>
      <w:r>
        <w:rPr>
          <w:b/>
          <w:color w:val="FF000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rPr>
        <w:t>"</w:t>
      </w:r>
      <w:r>
        <w:rPr>
          <w:i/>
          <w:u w:val="single"/>
        </w:rPr>
        <w:t>Credit Support Provider</w:t>
      </w:r>
      <w:r>
        <w:rPr>
          <w:i/>
        </w:rPr>
        <w:t>"</w:t>
      </w:r>
      <w:r>
        <w:rPr/>
        <w:t xml:space="preserve"> means, with respect to ENA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tab/>
      </w:r>
      <w:r>
        <w:rPr>
          <w:b/>
          <w:color w:val="FF0000"/>
        </w:rPr>
        <w:t>[</w:t>
      </w:r>
      <w:r>
        <w:rPr>
          <w:b/>
          <w:color w:val="FF0000"/>
          <w:u w:val="single"/>
        </w:rPr>
        <w:t>INSERT IF A GUARANTOR SUPPORTING EACH PARTY'S OBLIGATIONS</w:t>
      </w:r>
      <w:r>
        <w:rPr>
          <w:b/>
          <w:color w:val="FF0000"/>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b/>
          <w:color w:val="FF0000"/>
        </w:rPr>
      </w:pPr>
      <w:r>
        <w:rPr>
          <w:b/>
          <w:color w:val="FF0000"/>
        </w:rPr>
      </w:r>
    </w:p>
    <w:p>
      <w:pPr>
        <w:pStyle w:val="Normal"/>
        <w:spacing w:lineRule="atLeast" w:line="240"/>
        <w:ind w:start="360" w:end="0"/>
        <w:jc w:val="both"/>
        <w:rPr/>
      </w:pPr>
      <w:r>
        <w:rPr>
          <w:i/>
        </w:rPr>
        <w:t>"</w:t>
      </w:r>
      <w:r>
        <w:rPr>
          <w:i/>
          <w:u w:val="single"/>
        </w:rPr>
        <w:t>Credit Support Provider</w:t>
      </w:r>
      <w:r>
        <w:rPr>
          <w:i/>
        </w:rPr>
        <w:t>"</w:t>
      </w:r>
      <w:r>
        <w:rPr/>
        <w:t xml:space="preserve"> means (a) with respect to Counterparty, _________________, and (b)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xml:space="preserve">.  The following Sections are hereby added to Paragraph </w:t>
      </w:r>
      <w:r>
        <w:rPr>
          <w:color w:val="FF0000"/>
        </w:rPr>
        <w:t>[</w:t>
      </w:r>
      <w:r>
        <w:rPr/>
        <w:t>13</w:t>
      </w:r>
      <w:r>
        <w:rPr>
          <w:color w:val="FF0000"/>
        </w:rPr>
        <w:t>][</w:t>
      </w:r>
      <w:r>
        <w:rPr/>
        <w:t>__</w:t>
      </w:r>
      <w:r>
        <w:rPr>
          <w:color w:val="FF0000"/>
        </w:rPr>
        <w:t>]</w:t>
      </w:r>
      <w:r>
        <w:rPr/>
        <w:t xml:space="preserve">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hanging="720" w:start="720" w:end="0"/>
        <w:jc w:val="both"/>
        <w:rPr>
          <w:color w:val="FF0000"/>
        </w:rPr>
      </w:pPr>
      <w:r>
        <w:rPr/>
        <w:tab/>
      </w:r>
      <w:r>
        <w:rPr>
          <w:b/>
          <w:color w:val="FF0000"/>
        </w:rPr>
        <w:t>[INSERT IF PERFORMANCE ASSURANCE IS TO BE PROVIDED BY ENA AND COUNTERPARTY]:</w:t>
      </w:r>
    </w:p>
    <w:p>
      <w:pPr>
        <w:pStyle w:val="Normal"/>
        <w:ind w:hanging="720" w:start="720" w:end="0"/>
        <w:jc w:val="both"/>
        <w:rPr>
          <w:color w:val="FF0000"/>
        </w:rPr>
      </w:pPr>
      <w:r>
        <w:rPr>
          <w:color w:val="FF0000"/>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720" w:end="0"/>
        <w:jc w:val="both"/>
        <w:rPr>
          <w:b/>
          <w:color w:val="FF0000"/>
        </w:rPr>
      </w:pPr>
      <w:r>
        <w:rPr>
          <w:b/>
          <w:color w:val="FF0000"/>
        </w:rPr>
        <w:t>[INSERT IF PERFORMANCE ASSURANCE IS TO BE PROVIDED BY COUNTERPARTY ONLY]:</w:t>
      </w:r>
    </w:p>
    <w:p>
      <w:pPr>
        <w:pStyle w:val="Normal"/>
        <w:jc w:val="both"/>
        <w:rPr>
          <w:b/>
          <w:color w:val="FF0000"/>
        </w:rPr>
      </w:pPr>
      <w:r>
        <w:rPr>
          <w:b/>
          <w:color w:val="FF0000"/>
        </w:rPr>
      </w:r>
    </w:p>
    <w:p>
      <w:pPr>
        <w:pStyle w:val="Normal"/>
        <w:ind w:start="360" w:end="0"/>
        <w:jc w:val="both"/>
        <w:rPr>
          <w:b/>
        </w:rPr>
      </w:pPr>
      <w:r>
        <w:rPr/>
        <w:t>"</w:t>
      </w:r>
      <w:r>
        <w:rPr>
          <w:u w:val="single"/>
        </w:rPr>
        <w:t>Credit Support Documents - Collateral Annex</w:t>
      </w:r>
      <w:r>
        <w:rPr/>
        <w:t>.  Counterparty shall establish, maintain, renew, substitute and increase Performance Assurance as (and only to the extent) required by Annex B-1, which shall be a Credit Support Document."</w:t>
      </w:r>
    </w:p>
    <w:p>
      <w:pPr>
        <w:pStyle w:val="Normal"/>
        <w:jc w:val="both"/>
        <w:rPr>
          <w:b/>
        </w:rPr>
      </w:pPr>
      <w:r>
        <w:rPr>
          <w:b/>
        </w:rPr>
      </w:r>
    </w:p>
    <w:p>
      <w:pPr>
        <w:pStyle w:val="Normal"/>
        <w:ind w:hanging="720" w:start="720" w:end="0"/>
        <w:jc w:val="both"/>
        <w:rPr/>
      </w:pPr>
      <w:r>
        <w:rPr/>
        <w:tab/>
      </w:r>
      <w:r>
        <w:rPr>
          <w:b/>
          <w:color w:val="FF0000"/>
        </w:rPr>
        <w:t>[INSERT IF CREDIT SUPPORT IS CASH AND/OR A LETTER OF CREDIT BEING PROVIDED BY COUNTERPARTY ONLY]:</w:t>
      </w:r>
    </w:p>
    <w:p>
      <w:pPr>
        <w:pStyle w:val="Normal"/>
        <w:jc w:val="both"/>
        <w:rPr>
          <w:b/>
          <w:color w:val="FF0000"/>
        </w:rPr>
      </w:pPr>
      <w:r>
        <w:rPr>
          <w:b/>
          <w:color w:val="FF0000"/>
        </w:rPr>
      </w:r>
    </w:p>
    <w:p>
      <w:pPr>
        <w:pStyle w:val="Normal"/>
        <w:ind w:start="360" w:end="0"/>
        <w:jc w:val="both"/>
        <w:rPr/>
      </w:pPr>
      <w:r>
        <w:rPr/>
        <w:t>"</w:t>
      </w:r>
      <w:r>
        <w:rPr>
          <w:u w:val="single"/>
        </w:rPr>
        <w:t>Credit Support Documents – Performance Assurance</w:t>
      </w:r>
      <w:r>
        <w:rPr/>
        <w:t>.  On or before 5:00 p.m. (Houston time) on __________, 200_, Counterparty shall deliver to ENA Performance Assurance in the amount of $__________ (the “Additional Amount”) which Additional Amount shall be maintained in favor of ENA in accordance with the terms of Annex B-1.  In addition to such Performance Assurance, Counterparty shall establish, maintain, renew, substitute and increase such Performance Assurance as (and only to the extent) required by Annex B-1, which shall be a Credit Support Document."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rPr>
      </w:pPr>
      <w:r>
        <w:rPr>
          <w:b/>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b/>
          <w:color w:val="FF0000"/>
          <w:u w:val="single"/>
        </w:rPr>
      </w:pPr>
      <w:r>
        <w:rPr>
          <w:b/>
        </w:rPr>
        <w:tab/>
      </w:r>
      <w:r>
        <w:rPr>
          <w:b/>
          <w:color w:val="FF0000"/>
        </w:rPr>
        <w:t>[</w:t>
      </w:r>
      <w:r>
        <w:rPr>
          <w:b/>
          <w:color w:val="FF0000"/>
          <w:u w:val="single"/>
        </w:rPr>
        <w:t>INSERT IF CREDIT SUPPORT IN FORM OF GUARANTY IS PROVIDED BY COUNTERPARTY ONLY</w:t>
      </w:r>
      <w:r>
        <w:rPr>
          <w:b/>
          <w:color w:val="FF0000"/>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color w:val="FF0000"/>
          <w:u w:val="single"/>
        </w:rPr>
      </w:pPr>
      <w:r>
        <w:rPr>
          <w:b/>
          <w:color w:val="FF0000"/>
          <w:u w:val="single"/>
        </w:rPr>
      </w:r>
    </w:p>
    <w:p>
      <w:pPr>
        <w:pStyle w:val="Normal"/>
        <w:ind w:start="360" w:end="0"/>
        <w:jc w:val="both"/>
        <w:rPr/>
      </w:pPr>
      <w:r>
        <w:rPr/>
        <w:t>"</w:t>
      </w:r>
      <w:r>
        <w:rPr>
          <w:u w:val="single"/>
        </w:rPr>
        <w:t>Credit Support Documents - Guaranty</w:t>
      </w:r>
      <w:r>
        <w:rPr/>
        <w:t>.  Within two (2) Business Days of the Counterparty's receipt of this Confirmation, Counterparty shall cause to be delivered to ENA a duly executed guaranty (</w:t>
      </w:r>
      <w:r>
        <w:rPr>
          <w:i/>
        </w:rPr>
        <w:t>"</w:t>
      </w:r>
      <w:r>
        <w:rPr>
          <w:i/>
          <w:u w:val="single"/>
        </w:rPr>
        <w:t>Guaranty</w:t>
      </w:r>
      <w:r>
        <w:rPr>
          <w:i/>
        </w:rPr>
        <w:t>"</w:t>
      </w:r>
      <w:r>
        <w:rPr/>
        <w:t xml:space="preserve">) from its Credit Support Provider in favor of ENA in the form attached as Annex B-2, which shall be a Credit Support Document." </w:t>
      </w:r>
    </w:p>
    <w:p>
      <w:pPr>
        <w:pStyle w:val="Normal"/>
        <w:jc w:val="both"/>
        <w:rPr>
          <w:b/>
          <w:u w:val="single"/>
        </w:rPr>
      </w:pPr>
      <w:r>
        <w:rPr>
          <w:b/>
          <w:u w:val="single"/>
        </w:rPr>
      </w:r>
    </w:p>
    <w:p>
      <w:pPr>
        <w:pStyle w:val="Normal"/>
        <w:ind w:hanging="720" w:start="720" w:end="0"/>
        <w:jc w:val="both"/>
        <w:rPr>
          <w:b/>
          <w:color w:val="FF0000"/>
          <w:u w:val="single"/>
        </w:rPr>
      </w:pPr>
      <w:r>
        <w:rPr>
          <w:b/>
        </w:rPr>
        <w:tab/>
      </w:r>
      <w:r>
        <w:rPr>
          <w:b/>
          <w:color w:val="FF0000"/>
        </w:rPr>
        <w:t>[</w:t>
      </w:r>
      <w:r>
        <w:rPr>
          <w:b/>
          <w:color w:val="FF0000"/>
          <w:u w:val="single"/>
        </w:rPr>
        <w:t>INSERT IF CREDIT SUPPORT IN FORM OF GUARANTY IS PROVIDED BY ENA ONLY</w:t>
      </w:r>
      <w:r>
        <w:rPr>
          <w:b/>
          <w:color w:val="FF0000"/>
        </w:rPr>
        <w:t>]:</w:t>
      </w:r>
    </w:p>
    <w:p>
      <w:pPr>
        <w:pStyle w:val="Normal"/>
        <w:ind w:start="360" w:end="0"/>
        <w:jc w:val="both"/>
        <w:rPr/>
      </w:pPr>
      <w:r>
        <w:rPr/>
        <w:t>ten (10) Business Days of the date of this Confirmation, ENA shall cause to be delivered to Counterparty the duly executed guaranty (</w:t>
      </w:r>
      <w:r>
        <w:rPr>
          <w:i/>
        </w:rPr>
        <w:t>"</w:t>
      </w:r>
      <w:r>
        <w:rPr>
          <w:i/>
          <w:u w:val="single"/>
        </w:rPr>
        <w:t>Guaranty</w:t>
      </w:r>
      <w:r>
        <w:rPr>
          <w:i/>
        </w:rPr>
        <w:t>"</w:t>
      </w:r>
      <w:r>
        <w:rPr/>
        <w:t xml:space="preserve">) from its Credit Support Provider in favor of Counterparty in the form attached as Annex B-2, which shall be a Credit Support Document." </w:t>
      </w:r>
    </w:p>
    <w:p>
      <w:pPr>
        <w:pStyle w:val="Normal"/>
        <w:jc w:val="both"/>
        <w:rPr>
          <w:b/>
          <w:u w:val="single"/>
        </w:rPr>
      </w:pPr>
      <w:r>
        <w:rPr>
          <w:b/>
          <w:u w:val="single"/>
        </w:rPr>
      </w:r>
    </w:p>
    <w:p>
      <w:pPr>
        <w:pStyle w:val="Normal"/>
        <w:ind w:hanging="720" w:start="720" w:end="0"/>
        <w:jc w:val="both"/>
        <w:rPr>
          <w:b/>
          <w:color w:val="FF0000"/>
          <w:u w:val="single"/>
        </w:rPr>
      </w:pPr>
      <w:r>
        <w:rPr>
          <w:b/>
        </w:rPr>
        <w:tab/>
      </w:r>
      <w:r>
        <w:rPr>
          <w:b/>
          <w:color w:val="FF0000"/>
        </w:rPr>
        <w:t>[</w:t>
      </w:r>
      <w:r>
        <w:rPr>
          <w:b/>
          <w:color w:val="FF0000"/>
          <w:u w:val="single"/>
        </w:rPr>
        <w:t>INSERT IF CREDIT SUPPORT IN FORM OF GUARANTY IS PROVIDED BY ENA AND COUNTERPARTY</w:t>
      </w:r>
      <w:r>
        <w:rPr>
          <w:b/>
          <w:color w:val="FF0000"/>
        </w:rPr>
        <w:t>]:</w:t>
      </w:r>
    </w:p>
    <w:p>
      <w:pPr>
        <w:pStyle w:val="Normal"/>
        <w:jc w:val="both"/>
        <w:rPr>
          <w:b/>
          <w:color w:val="FF0000"/>
          <w:u w:val="single"/>
        </w:rPr>
      </w:pPr>
      <w:r>
        <w:rPr>
          <w:b/>
          <w:color w:val="FF0000"/>
          <w:u w:val="single"/>
        </w:rPr>
      </w:r>
    </w:p>
    <w:p>
      <w:pPr>
        <w:pStyle w:val="Normal"/>
        <w:ind w:start="360" w:end="0"/>
        <w:jc w:val="both"/>
        <w:rPr/>
      </w:pPr>
      <w:r>
        <w:rPr/>
        <w:t>"</w:t>
      </w:r>
      <w:r>
        <w:rPr>
          <w:u w:val="single"/>
        </w:rPr>
        <w:t>Credit Support Documents - Guaranty</w:t>
      </w:r>
      <w:r>
        <w:rPr/>
        <w:t xml:space="preserve">.  Within ____ (__) Business Days of the date of this Confirmation, (a) Counterparty shall deliver to ENA a duly executed guaranty in the form attached as Annex B-2 of Counterparty's Credit Support Provider in favor of ENA, which shall be a Credit Support Document, and (b) ENA shall deliver to Counterparty a duly executed guaranty in the form attached as Annex B-3 of ENA's Credit Support Provider in favor of Counterparty, which shall be a Credit Support Document.  Each of such guaranties is referred to herein as a </w:t>
      </w:r>
      <w:r>
        <w:rPr>
          <w:i/>
        </w:rPr>
        <w:t>"</w:t>
      </w:r>
      <w:r>
        <w:rPr>
          <w:i/>
          <w:u w:val="single"/>
        </w:rPr>
        <w:t>Guaranty</w:t>
      </w:r>
      <w:r>
        <w:rPr>
          <w:i/>
        </w:rPr>
        <w:t>"</w:t>
      </w:r>
      <w:r>
        <w:rPr/>
        <w:t xml:space="preserve">.  </w:t>
      </w:r>
    </w:p>
    <w:p>
      <w:pPr>
        <w:pStyle w:val="Normal"/>
        <w:jc w:val="both"/>
        <w:rPr>
          <w:b/>
          <w:u w:val="single"/>
        </w:rPr>
      </w:pPr>
      <w:r>
        <w:rPr>
          <w:b/>
          <w:u w:val="single"/>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ind w:hanging="720" w:start="720" w:end="0"/>
        <w:jc w:val="both"/>
        <w:rPr/>
      </w:pPr>
      <w:r>
        <w:rPr>
          <w:b/>
        </w:rPr>
        <w:tab/>
      </w:r>
      <w:r>
        <w:rPr>
          <w:b/>
          <w:color w:val="FF0000"/>
        </w:rPr>
        <w:t>[</w:t>
      </w:r>
      <w:r>
        <w:rPr>
          <w:b/>
          <w:color w:val="FF0000"/>
          <w:u w:val="single"/>
        </w:rPr>
        <w:t>INSERT IF ONLY COUNTERPARTY IS TO PROVIDE FINANCIAL INFORMATION</w:t>
      </w:r>
      <w:r>
        <w:rPr>
          <w:b/>
          <w:color w:val="FF0000"/>
        </w:rPr>
        <w:t>]:</w:t>
      </w:r>
    </w:p>
    <w:p>
      <w:pPr>
        <w:pStyle w:val="Normal"/>
        <w:ind w:hanging="720" w:start="720" w:end="0"/>
        <w:jc w:val="both"/>
        <w:rPr>
          <w:b/>
          <w:color w:val="FF0000"/>
          <w:u w:val="single"/>
        </w:rPr>
      </w:pPr>
      <w:r>
        <w:rPr>
          <w:b/>
          <w:color w:val="FF0000"/>
          <w:u w:val="single"/>
        </w:rPr>
      </w:r>
    </w:p>
    <w:p>
      <w:pPr>
        <w:pStyle w:val="Normal"/>
        <w:jc w:val="both"/>
        <w:rPr/>
      </w:pPr>
      <w:r>
        <w:rPr/>
        <w:tab/>
        <w:t>The following documents are hereby required to be delivered purusant to Section 4(a) of the ISDA Agreement:</w:t>
      </w:r>
    </w:p>
    <w:p>
      <w:pPr>
        <w:pStyle w:val="Normal"/>
        <w:jc w:val="both"/>
        <w:rPr/>
      </w:pPr>
      <w:r>
        <w:rPr/>
      </w:r>
    </w:p>
    <w:p>
      <w:pPr>
        <w:pStyle w:val="Normal"/>
        <w:ind w:start="360" w:end="0"/>
        <w:jc w:val="both"/>
        <w:rPr/>
      </w:pPr>
      <w:r>
        <w:rPr/>
        <w:t>“</w:t>
      </w:r>
      <w:r>
        <w:rPr/>
        <w:t>(iv)</w:t>
        <w:tab/>
        <w:t>Counterparty shall deliver to ENA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ENA may reasonably request.”</w:t>
      </w:r>
    </w:p>
    <w:p>
      <w:pPr>
        <w:pStyle w:val="Normal"/>
        <w:rPr/>
      </w:pPr>
      <w:r>
        <w:rPr/>
      </w:r>
    </w:p>
    <w:p>
      <w:pPr>
        <w:pStyle w:val="Normal"/>
        <w:ind w:hanging="720" w:start="720" w:end="0"/>
        <w:rPr>
          <w:b/>
        </w:rPr>
      </w:pPr>
      <w:r>
        <w:rPr>
          <w:b/>
        </w:rPr>
        <w:tab/>
      </w:r>
    </w:p>
    <w:p>
      <w:pPr>
        <w:pStyle w:val="Normal"/>
        <w:ind w:hanging="720" w:start="720" w:end="0"/>
        <w:rPr/>
      </w:pPr>
      <w:r>
        <w:rPr>
          <w:b/>
        </w:rPr>
        <w:tab/>
      </w:r>
      <w:r>
        <w:rPr>
          <w:b/>
          <w:color w:val="FF0000"/>
        </w:rPr>
        <w:t>[</w:t>
      </w:r>
      <w:r>
        <w:rPr>
          <w:b/>
          <w:color w:val="FF0000"/>
          <w:u w:val="single"/>
        </w:rPr>
        <w:t>INSERT IF ENA AND COUNTERPARTY ARE EACH TO PROVIDE FINANCIAL INFORMATION</w:t>
      </w:r>
      <w:r>
        <w:rPr>
          <w:b/>
          <w:color w:val="FF0000"/>
        </w:rPr>
        <w:t>]:</w:t>
      </w:r>
    </w:p>
    <w:p>
      <w:pPr>
        <w:pStyle w:val="Normal"/>
        <w:jc w:val="both"/>
        <w:rPr>
          <w:b/>
          <w:color w:val="FF0000"/>
        </w:rPr>
      </w:pPr>
      <w:r>
        <w:rPr>
          <w:b/>
          <w:color w:val="FF0000"/>
        </w:rPr>
      </w:r>
    </w:p>
    <w:p>
      <w:pPr>
        <w:pStyle w:val="Normal"/>
        <w:tabs>
          <w:tab w:val="clear" w:pos="720"/>
          <w:tab w:val="left" w:pos="1440" w:leader="none"/>
          <w:tab w:val="left" w:pos="6480" w:leader="none"/>
        </w:tabs>
        <w:jc w:val="both"/>
        <w:rPr/>
      </w:pPr>
      <w:r>
        <w:rPr/>
        <w:tab/>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23"/>
          <w:headerReference w:type="first" r:id="rId24"/>
          <w:footerReference w:type="default" r:id="rId25"/>
          <w:footerReference w:type="first" r:id="rId26"/>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[Credit Support Provider’s][(or in the case of ENA, Enron Corp.'s)] fiscal year a copy of its [Credit Support Provider’s][(or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[its Credit Support Provider’s][Enron Corp.’s] annual consolidated financial statements are not available on “EDGAR” or [its Credit Support Provider’s][Enron Corp.’s] home page on the World Wide Web at www.enron.com; </w:t>
      </w:r>
      <w:r>
        <w:rPr>
          <w:sz w:val="18"/>
        </w:rPr>
        <w:t xml:space="preserve"> </w:t>
      </w:r>
      <w:r>
        <w:rPr/>
        <w:t>(ii) as soon as available and in any event within sixty (60) days after the end of each of its [Credit Support Provider’s][(or in the case of ENA, Enron Corp.'s)] first three fiscal quarters of each fiscal year, copies of its [Credit Support Provider’s][(or in the case of ENA, Enron Corp.'s)] quarterly reports containing unaudited consolidated financial statements for such fiscal quarter prepared in accordance with GAAP, and further with respect to ENA,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w:t>
      </w:r>
    </w:p>
    <w:p>
      <w:pPr>
        <w:pStyle w:val="Normal"/>
        <w:jc w:val="end"/>
        <w:rPr>
          <w:b/>
          <w:color w:val="FF0000"/>
          <w:u w:val="single"/>
        </w:rPr>
      </w:pPr>
      <w:r>
        <w:rPr>
          <w:b/>
          <w:color w:val="FF0000"/>
          <w:u w:val="single"/>
        </w:rPr>
        <w:t>ONE WAY LETTER OF CREDIT ISSUED BY COUNTERPARTY ONLY FORM</w:t>
      </w:r>
    </w:p>
    <w:p>
      <w:pPr>
        <w:pStyle w:val="Normal"/>
        <w:jc w:val="both"/>
        <w:rPr>
          <w:b/>
          <w:color w:val="FF0000"/>
          <w:u w:val="single"/>
        </w:rPr>
      </w:pPr>
      <w:r>
        <w:rPr>
          <w:b/>
          <w:color w:val="FF0000"/>
          <w:u w:val="single"/>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numPr>
          <w:ilvl w:val="0"/>
          <w:numId w:val="2"/>
        </w:numPr>
        <w:tabs>
          <w:tab w:val="left" w:pos="720" w:leader="none"/>
        </w:tabs>
        <w:jc w:val="both"/>
        <w:rPr/>
      </w:pP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 xml:space="preserve">The </w:t>
      </w:r>
      <w:r>
        <w:rPr>
          <w:i/>
        </w:rPr>
        <w:t>"</w:t>
      </w:r>
      <w:r>
        <w:rPr>
          <w:i/>
          <w:u w:val="single"/>
        </w:rPr>
        <w:t>Collateral Requirement</w:t>
      </w:r>
      <w:r>
        <w:rPr>
          <w:i/>
        </w:rPr>
        <w:t>"</w:t>
      </w:r>
      <w:r>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pPr>
      <w:r>
        <w:rPr/>
      </w:r>
    </w:p>
    <w:p>
      <w:pPr>
        <w:pStyle w:val="Normal"/>
        <w:tabs>
          <w:tab w:val="left" w:pos="720" w:leader="none"/>
        </w:tabs>
        <w:ind w:hanging="1440" w:start="1440" w:end="0"/>
        <w:jc w:val="both"/>
        <w:rPr/>
      </w:pPr>
      <w:r>
        <w:rPr/>
        <w:tab/>
        <w:t>(c)</w:t>
        <w:tab/>
        <w:t xml:space="preserve">The </w:t>
      </w:r>
      <w:r>
        <w:rPr>
          <w:i/>
        </w:rPr>
        <w:t>"</w:t>
      </w:r>
      <w:r>
        <w:rPr>
          <w:i/>
          <w:u w:val="single"/>
        </w:rPr>
        <w:t>Current Value</w:t>
      </w:r>
      <w:r>
        <w:rPr>
          <w:i/>
        </w:rPr>
        <w:t>"</w:t>
      </w:r>
      <w:r>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uncompleted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(d)</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(e)</w:t>
        <w:tab/>
      </w:r>
      <w:r>
        <w:rPr>
          <w:i/>
        </w:rPr>
        <w:t>"</w:t>
      </w:r>
      <w:r>
        <w:rPr>
          <w:i/>
          <w:u w:val="single"/>
        </w:rPr>
        <w:t>Exposure Threshold</w:t>
      </w:r>
      <w:r>
        <w:rPr>
          <w:i/>
        </w:rPr>
        <w:t>"</w:t>
      </w:r>
      <w:r>
        <w:rPr/>
        <w:t xml:space="preserve"> shall mean, with respect to Counterparty, $</w:t>
      </w:r>
      <w:r>
        <w:rPr>
          <w:u w:val="single"/>
        </w:rPr>
        <w:t xml:space="preserve">            </w:t>
      </w:r>
      <w:r>
        <w:rPr/>
        <w:t xml:space="preserve">; provided, however, that the Exposure Threshold shall be zero for Counterparty upon the occurrence and during the continuance of a </w:t>
      </w:r>
      <w:r>
        <w:rPr>
          <w:color w:val="FF0000"/>
        </w:rPr>
        <w:t>[</w:t>
      </w:r>
      <w:r>
        <w:rPr/>
        <w:t>Material Adverse Change</w:t>
      </w:r>
      <w:r>
        <w:rPr>
          <w:color w:val="FF0000"/>
        </w:rPr>
        <w:t>]</w:t>
      </w:r>
      <w:r>
        <w:rPr/>
        <w:t xml:space="preserve"> or an Event of Default (or an event which, with the giving of notice or the lapse of time or both, would constitute an Event of Default (a “</w:t>
      </w:r>
      <w:r>
        <w:rPr>
          <w:u w:val="single"/>
        </w:rPr>
        <w:t>Potential Event of Default</w:t>
      </w:r>
      <w:r>
        <w:rPr/>
        <w:t>”)) with respect to Counterparty.  The Exposure Threshold assigned to Counterparty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(f)</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(g)</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(h)</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(i)</w:t>
        <w:tab/>
        <w:t>"</w:t>
      </w:r>
      <w:r>
        <w:rPr>
          <w:i/>
          <w:u w:val="single"/>
        </w:rPr>
        <w:t>Performance Assurance</w:t>
      </w:r>
      <w:r>
        <w:rPr/>
        <w:t xml:space="preserve">" means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ENA and in the form of </w:t>
      </w:r>
      <w:r>
        <w:rPr>
          <w:u w:val="single"/>
        </w:rPr>
        <w:t>Schedule 1</w:t>
      </w:r>
      <w:r>
        <w:rPr/>
        <w:t xml:space="preserve"> attached hereto, with only such changes as may be required by the issuing bank and as are acceptable to ENA.</w:t>
      </w:r>
    </w:p>
    <w:p>
      <w:pPr>
        <w:pStyle w:val="Normal"/>
        <w:tabs>
          <w:tab w:val="left" w:pos="720" w:leader="none"/>
        </w:tabs>
        <w:ind w:hanging="1440" w:start="1440" w:end="0"/>
        <w:jc w:val="both"/>
        <w:rPr/>
      </w:pPr>
      <w:r>
        <w:rPr/>
      </w:r>
    </w:p>
    <w:p>
      <w:pPr>
        <w:pStyle w:val="Normal"/>
        <w:ind w:start="720" w:end="0"/>
        <w:jc w:val="both"/>
        <w:rPr/>
      </w:pPr>
      <w:r>
        <w:rPr/>
        <w:t>(j)</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(k)</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(l)</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u w:val="single"/>
        </w:rPr>
        <w:tab/>
        <w:tab/>
      </w:r>
      <w:r>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color w:val="000000"/>
        </w:rPr>
      </w:pPr>
      <w:r>
        <w:rPr>
          <w:color w:val="000000"/>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color w:val="000000"/>
        </w:rPr>
      </w:pPr>
      <w:r>
        <w:rPr>
          <w:color w:val="000000"/>
        </w:rPr>
      </w:r>
    </w:p>
    <w:p>
      <w:pPr>
        <w:pStyle w:val="Normal"/>
        <w:tabs>
          <w:tab w:val="left" w:pos="720" w:leader="none"/>
        </w:tabs>
        <w:ind w:hanging="720" w:start="1440" w:end="0"/>
        <w:jc w:val="both"/>
        <w:rPr/>
      </w:pPr>
      <w:r>
        <w:rPr/>
        <w:t>(c)</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a substitute Letter of Credit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Upon the occurrence of a Letter of Credit Default, Counterparty agrees to deliver a substitute Letter of Credit to ENA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(f)</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Counterparty shall remain liable for any amounts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(h)</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(i)</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pPr>
      <w:r>
        <w:rPr/>
      </w:r>
    </w:p>
    <w:p>
      <w:pPr>
        <w:sectPr>
          <w:headerReference w:type="default" r:id="rId27"/>
          <w:headerReference w:type="first" r:id="rId28"/>
          <w:footerReference w:type="default" r:id="rId29"/>
          <w:footerReference w:type="first" r:id="rId30"/>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tab/>
        <w:t xml:space="preserve">3.  </w:t>
      </w:r>
      <w:r>
        <w:rPr>
          <w:u w:val="single"/>
        </w:rPr>
        <w:t>Additional Representation</w:t>
      </w:r>
      <w:r>
        <w:rPr/>
        <w:t>.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b/>
          <w:color w:val="FF0000"/>
          <w:u w:val="single"/>
        </w:rPr>
      </w:pPr>
      <w:r>
        <w:rPr>
          <w:b/>
          <w:color w:val="FF0000"/>
          <w:u w:val="single"/>
        </w:rPr>
        <w:t>TWO WAY/LETTER OF CREDIT FORM</w:t>
      </w:r>
    </w:p>
    <w:p>
      <w:pPr>
        <w:pStyle w:val="Normal"/>
        <w:jc w:val="center"/>
        <w:rPr>
          <w:b/>
          <w:color w:val="FF0000"/>
          <w:u w:val="single"/>
        </w:rPr>
      </w:pPr>
      <w:r>
        <w:rPr>
          <w:b/>
          <w:color w:val="FF0000"/>
          <w:u w:val="single"/>
        </w:rPr>
      </w:r>
    </w:p>
    <w:p>
      <w:pPr>
        <w:pStyle w:val="Normal"/>
        <w:jc w:val="center"/>
        <w:rPr>
          <w:b/>
          <w:u w:val="single"/>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numPr>
          <w:ilvl w:val="0"/>
          <w:numId w:val="4"/>
        </w:numPr>
        <w:jc w:val="both"/>
        <w:rPr/>
      </w:pP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The "</w:t>
      </w:r>
      <w:r>
        <w:rPr>
          <w:u w:val="single"/>
        </w:rPr>
        <w:t>Collateral Requirement</w:t>
      </w:r>
      <w:r>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s>
        <w:ind w:hanging="1440" w:start="1440" w:end="0"/>
        <w:jc w:val="both"/>
        <w:rPr/>
      </w:pPr>
      <w:r>
        <w:rPr/>
        <w:tab/>
        <w:t>(c)</w:t>
        <w:tab/>
        <w:t>The "</w:t>
      </w:r>
      <w:r>
        <w:rPr>
          <w:u w:val="single"/>
        </w:rPr>
        <w:t>Current Value</w:t>
      </w:r>
      <w:r>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(d)</w:t>
        <w:tab/>
        <w:t>"</w:t>
      </w:r>
      <w:r>
        <w:rPr>
          <w:u w:val="single"/>
        </w:rPr>
        <w:t>Exposure</w:t>
      </w:r>
      <w:r>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jc w:val="both"/>
        <w:rPr/>
      </w:pPr>
      <w:r>
        <w:rPr/>
      </w:r>
    </w:p>
    <w:p>
      <w:pPr>
        <w:pStyle w:val="Normal"/>
        <w:tabs>
          <w:tab w:val="left" w:pos="720" w:leader="none"/>
        </w:tabs>
        <w:ind w:hanging="1440" w:start="1440" w:end="0"/>
        <w:jc w:val="both"/>
        <w:rPr/>
      </w:pPr>
      <w:r>
        <w:rPr/>
        <w:tab/>
        <w:t>(e)</w:t>
        <w:tab/>
        <w:t>"</w:t>
      </w:r>
      <w:r>
        <w:rPr>
          <w:u w:val="single"/>
        </w:rPr>
        <w:t>Exposure Threshold</w:t>
      </w:r>
      <w:r>
        <w:rPr/>
        <w:t>" shall mean, with respect to (i) ENA, $</w:t>
      </w:r>
      <w:r>
        <w:rPr>
          <w:u w:val="single"/>
        </w:rPr>
        <w:tab/>
        <w:tab/>
      </w:r>
      <w:r>
        <w:rPr/>
        <w:t>, and (ii) Counterparty, $</w:t>
      </w:r>
      <w:r>
        <w:rPr>
          <w:u w:val="single"/>
        </w:rPr>
        <w:tab/>
      </w:r>
      <w:r>
        <w:rPr/>
        <w:t xml:space="preserve">; provided, however, that the Exposure Threshold for a party shall be zero upon the occurrence and during the continuance of a </w:t>
      </w:r>
      <w:r>
        <w:rPr>
          <w:color w:val="FF0000"/>
        </w:rPr>
        <w:t>[</w:t>
      </w:r>
      <w:r>
        <w:rPr/>
        <w:t>Material Adverse Change</w:t>
      </w:r>
      <w:r>
        <w:rPr>
          <w:color w:val="FF0000"/>
        </w:rPr>
        <w:t>]</w:t>
      </w:r>
      <w:r>
        <w:rPr/>
        <w:t xml:space="preserve"> or an Event of Default (or an event which, with the giving of notice or the lapse of time or both would constitute an Event of Default (a “</w:t>
      </w:r>
      <w:r>
        <w:rPr>
          <w:u w:val="single"/>
        </w:rPr>
        <w:t>Potential Event of Default</w:t>
      </w:r>
      <w:r>
        <w:rPr/>
        <w:t>”)) with respect to such party.  The Exposure Threshold assigned to a 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(f)</w:t>
        <w:tab/>
        <w:t>"</w:t>
      </w:r>
      <w:r>
        <w:rPr>
          <w:u w:val="single"/>
        </w:rPr>
        <w:t>Exposure Amount</w:t>
      </w:r>
      <w:r>
        <w:rPr/>
        <w:t>" for each party shall be calculated for all Swaps by calculating each party's Exposure to the other party in respect of all Swaps.  The party having the greater Exposure Amount at any time (the "</w:t>
      </w:r>
      <w:r>
        <w:rPr>
          <w:u w:val="single"/>
        </w:rPr>
        <w:t>Exposed Party</w:t>
      </w:r>
      <w:r>
        <w:rPr/>
        <w:t>") shall be deemed to have a "Net Exposure" to the other party (the "</w:t>
      </w:r>
      <w:r>
        <w:rPr>
          <w:u w:val="single"/>
        </w:rPr>
        <w:t>Non-Exposed Party</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(g)</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pPr>
      <w:r>
        <w:rPr/>
      </w:r>
    </w:p>
    <w:p>
      <w:pPr>
        <w:pStyle w:val="Normal"/>
        <w:ind w:start="720" w:end="0"/>
        <w:jc w:val="both"/>
        <w:rPr/>
      </w:pPr>
      <w:r>
        <w:rPr/>
        <w:t>(h)</w:t>
        <w:tab/>
        <w:t>“</w:t>
      </w:r>
      <w:r>
        <w:rPr>
          <w:i/>
          <w:u w:val="single"/>
        </w:rPr>
        <w:t>Moody’s</w:t>
      </w:r>
      <w:r>
        <w:rPr/>
        <w:t>” means Moody’s Investors Service, Inc. or its successor.</w:t>
      </w:r>
    </w:p>
    <w:p>
      <w:pPr>
        <w:pStyle w:val="Normal"/>
        <w:tabs>
          <w:tab w:val="left" w:pos="720" w:leader="none"/>
        </w:tabs>
        <w:ind w:hanging="1440" w:start="1440" w:end="0"/>
        <w:jc w:val="both"/>
        <w:rPr/>
      </w:pPr>
      <w:r>
        <w:rPr/>
      </w:r>
    </w:p>
    <w:p>
      <w:pPr>
        <w:pStyle w:val="Normal"/>
        <w:ind w:hanging="630" w:start="1350" w:end="0"/>
        <w:jc w:val="both"/>
        <w:rPr/>
      </w:pPr>
      <w:r>
        <w:rPr/>
        <w:t>(i)</w:t>
        <w:tab/>
        <w:t>"</w:t>
      </w:r>
      <w:r>
        <w:rPr>
          <w:i/>
          <w:u w:val="single"/>
        </w:rPr>
        <w:t>Performance Assurance</w:t>
      </w:r>
      <w:r>
        <w:rPr/>
        <w:t xml:space="preserve">" means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pPr>
      <w:r>
        <w:rPr/>
      </w:r>
    </w:p>
    <w:p>
      <w:pPr>
        <w:pStyle w:val="Normal"/>
        <w:ind w:start="720" w:end="0"/>
        <w:jc w:val="both"/>
        <w:rPr/>
      </w:pPr>
      <w:r>
        <w:rPr/>
        <w:t>(j)</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(k)</w:t>
        <w:tab/>
        <w:t>"</w:t>
      </w:r>
      <w:r>
        <w:rPr>
          <w:u w:val="single"/>
        </w:rPr>
        <w:t>Swaps</w:t>
      </w:r>
      <w:r>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u w:val="single"/>
        </w:rPr>
        <w:t>Swap</w:t>
      </w:r>
      <w:r>
        <w:rPr/>
        <w:t>" shall mean any of the Swaps.</w:t>
      </w:r>
    </w:p>
    <w:p>
      <w:pPr>
        <w:pStyle w:val="Normal"/>
        <w:jc w:val="both"/>
        <w:rPr/>
      </w:pPr>
      <w:r>
        <w:rPr/>
      </w:r>
    </w:p>
    <w:p>
      <w:pPr>
        <w:pStyle w:val="Normal"/>
        <w:tabs>
          <w:tab w:val="left" w:pos="720" w:leader="none"/>
        </w:tabs>
        <w:ind w:hanging="720" w:start="1440" w:end="0"/>
        <w:jc w:val="both"/>
        <w:rPr/>
      </w:pPr>
      <w:r>
        <w:rPr/>
        <w:t>(l)</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pPr>
      <w:r>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u w:val="single"/>
        </w:rPr>
        <w:tab/>
        <w:tab/>
      </w:r>
      <w:r>
        <w:rPr/>
        <w:t xml:space="preserve"> as to Counterparty, and $</w:t>
      </w:r>
      <w:r>
        <w:rPr>
          <w:u w:val="single"/>
        </w:rPr>
        <w:tab/>
        <w:tab/>
      </w:r>
      <w:r>
        <w:rPr/>
        <w:t xml:space="preserve">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t>(b)</w:t>
        <w:tab/>
        <w:t xml:space="preserve">On any Business Day (but no more frequently than weekly with respect to Letters of Credit), a party (the </w:t>
      </w:r>
      <w:r>
        <w:rPr>
          <w:u w:val="single"/>
        </w:rPr>
        <w:t>“Requesting Party</w:t>
      </w:r>
      <w:r>
        <w:rPr/>
        <w:t>”) that has provided Performance Assurance to the other party (the “</w:t>
      </w:r>
      <w:r>
        <w:rPr>
          <w:u w:val="single"/>
        </w:rPr>
        <w:t>Non-Requesting Party</w:t>
      </w:r>
      <w:r>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pPr>
      <w:r>
        <w:rPr/>
      </w:r>
    </w:p>
    <w:p>
      <w:pPr>
        <w:pStyle w:val="Normal"/>
        <w:tabs>
          <w:tab w:val="left" w:pos="720" w:leader="none"/>
        </w:tabs>
        <w:ind w:hanging="720" w:start="1440" w:end="0"/>
        <w:jc w:val="both"/>
        <w:rPr/>
      </w:pPr>
      <w:r>
        <w:rPr/>
        <w:t>(c)</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Upon the occurrence of a Letter of Credit Default, the Non-Exposed Party agrees to deliver a substitute Letter of Credit to the Exposed Party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BodyTextIndent"/>
        <w:tabs>
          <w:tab w:val="left" w:pos="720" w:leader="none"/>
        </w:tabs>
        <w:spacing w:before="0" w:after="0"/>
        <w:rPr>
          <w:color w:val="000000"/>
        </w:rPr>
      </w:pPr>
      <w:r>
        <w:rPr>
          <w:color w:val="000000"/>
        </w:rPr>
        <w:t>(f)</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color w:val="000000"/>
        </w:rPr>
      </w:pPr>
      <w:r>
        <w:rPr>
          <w:color w:val="000000"/>
        </w:rPr>
      </w:r>
    </w:p>
    <w:p>
      <w:pPr>
        <w:pStyle w:val="Normal"/>
        <w:tabs>
          <w:tab w:val="left" w:pos="720" w:leader="none"/>
          <w:tab w:val="left" w:pos="1440" w:leader="none"/>
        </w:tabs>
        <w:ind w:hanging="720" w:start="1440" w:end="0"/>
        <w:jc w:val="both"/>
        <w:rPr/>
      </w:pPr>
      <w:r>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(h)</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(i)</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sectPr>
          <w:headerReference w:type="default" r:id="rId31"/>
          <w:headerReference w:type="first" r:id="rId32"/>
          <w:footerReference w:type="default" r:id="rId33"/>
          <w:footerReference w:type="first" r:id="rId34"/>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tab/>
        <w:t xml:space="preserve">3.  </w:t>
      </w:r>
      <w:r>
        <w:rPr>
          <w:u w:val="single"/>
        </w:rPr>
        <w:t>Additional Representation</w:t>
      </w:r>
      <w:r>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b/>
          <w:u w:val="single"/>
        </w:rPr>
      </w:pPr>
      <w:r>
        <w:rPr>
          <w:b/>
          <w:color w:val="FF0000"/>
          <w:u w:val="single"/>
        </w:rPr>
        <w:t>ONE WAY CASH/LETTER OF CREDIT ISSUED BY COUNTERPARTY ONLY FORM</w:t>
      </w:r>
    </w:p>
    <w:p>
      <w:pPr>
        <w:pStyle w:val="Normal"/>
        <w:jc w:val="both"/>
        <w:rPr>
          <w:b/>
          <w:u w:val="single"/>
        </w:rPr>
      </w:pPr>
      <w:r>
        <w:rPr>
          <w:b/>
          <w:u w:val="single"/>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numPr>
          <w:ilvl w:val="0"/>
          <w:numId w:val="8"/>
        </w:numPr>
        <w:tabs>
          <w:tab w:val="left" w:pos="720" w:leader="none"/>
        </w:tabs>
        <w:jc w:val="both"/>
        <w:rPr/>
      </w:pPr>
      <w:r>
        <w:rPr/>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Counterparty, $</w:t>
      </w:r>
      <w:r>
        <w:rPr>
          <w:u w:val="single"/>
        </w:rPr>
        <w:t xml:space="preserve">            </w:t>
      </w:r>
      <w:r>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u w:val="single"/>
        </w:rPr>
        <w:t>Potential Event of Default</w:t>
      </w:r>
      <w:r>
        <w:rPr/>
        <w:t>”)) with respect to Counterparty.  The Exposure Threshold assigned to Counterparty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ENA and in the form of </w:t>
      </w:r>
      <w:r>
        <w:rPr>
          <w:u w:val="single"/>
        </w:rPr>
        <w:t>Schedule 1</w:t>
      </w:r>
      <w:r>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u w:val="single"/>
        </w:rPr>
        <w:tab/>
        <w:tab/>
      </w:r>
      <w:r>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 xml:space="preserve">On any Business Day (but no more frequently than weekly), Counterparty may request a reduction in the amount of Performance Assurance previously provided by it, </w:t>
      </w:r>
      <w:r>
        <w:rPr>
          <w:color w:val="000000"/>
          <w:u w:val="single"/>
        </w:rPr>
        <w:t>provided that</w:t>
      </w:r>
      <w:r>
        <w:rPr>
          <w:color w:val="000000"/>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ENA in the demand sent to Counterparty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Counterparty has occurred and is continuing, and no Early Termination Date for which any unsatisfied payment obligations of Counterparty exist has occurred or been designated as the result of an Event of Default or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or Termination Event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pPr>
      <w:r>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Counterparty agrees to deliver substitute Performance Assurance to ENA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Counterparty shall remain liable for any amounts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pPr>
      <w:r>
        <w:rPr/>
      </w:r>
    </w:p>
    <w:p>
      <w:pPr>
        <w:pStyle w:val="Normal"/>
        <w:jc w:val="both"/>
        <w:rPr/>
      </w:pPr>
      <w:r>
        <w:rPr/>
        <w:tab/>
        <w:t xml:space="preserve">5.  </w:t>
      </w:r>
      <w:r>
        <w:rPr>
          <w:u w:val="single"/>
        </w:rPr>
        <w:t>Additional Representation</w:t>
      </w:r>
      <w:r>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ENA’s Rights and Remedies</w:t>
      </w:r>
      <w:r>
        <w:rPr/>
        <w:t>.    If at any time (i) an Event of Default or Termination Event with respect to Counterparty has occurred and is continuing or (ii) an Early Termination Date has occurred or been designated as a result of an Event of Default or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pPr>
      <w:r>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35"/>
          <w:headerReference w:type="first" r:id="rId36"/>
          <w:footerReference w:type="default" r:id="rId37"/>
          <w:footerReference w:type="first" r:id="rId38"/>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pPr>
      <w:r>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end"/>
        <w:rPr>
          <w:b/>
          <w:u w:val="single"/>
        </w:rPr>
      </w:pPr>
      <w:r>
        <w:rPr>
          <w:b/>
          <w:color w:val="FF0000"/>
          <w:u w:val="single"/>
        </w:rPr>
        <w:t>TWO WAY CASH/LETTER OF CREDIT FORM</w:t>
      </w:r>
    </w:p>
    <w:p>
      <w:pPr>
        <w:pStyle w:val="Normal"/>
        <w:jc w:val="both"/>
        <w:rPr>
          <w:b/>
          <w:u w:val="single"/>
        </w:rPr>
      </w:pPr>
      <w:r>
        <w:rPr>
          <w:b/>
          <w:u w:val="single"/>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w:t>
      </w:r>
      <w:r>
        <w:rPr>
          <w:u w:val="single"/>
        </w:rPr>
        <w:t xml:space="preserve">                  </w:t>
      </w:r>
      <w:r>
        <w:rPr/>
        <w:t xml:space="preserve"> and (ii) Counterparty, $______________; provided, however, that the Exposure Threshold for a party shall be zero upon the occurrence and during the continuance of a </w:t>
      </w:r>
      <w:r>
        <w:rPr>
          <w:color w:val="FF0000"/>
        </w:rPr>
        <w:t>[</w:t>
      </w:r>
      <w:r>
        <w:rPr/>
        <w:t>Material Adverse Change</w:t>
      </w:r>
      <w:r>
        <w:rPr>
          <w:color w:val="FF0000"/>
        </w:rPr>
        <w:t>]</w:t>
      </w:r>
      <w:r>
        <w:rPr/>
        <w:t xml:space="preserve"> or an Event of Default (or an event which, with the giving of notice or the lapse of time or both, would constitute an Event of Default (a “</w:t>
      </w:r>
      <w:r>
        <w:rPr>
          <w:u w:val="single"/>
        </w:rPr>
        <w:t>Potential Event of Default</w:t>
      </w:r>
      <w:r>
        <w:rPr/>
        <w:t>”)) with respect to such party.  The Exposure Threshold assigned to a 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w:t>
      </w:r>
      <w:r>
        <w:rPr>
          <w:u w:val="single"/>
        </w:rPr>
        <w:tab/>
        <w:tab/>
      </w:r>
      <w:r>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the Non-Exposed Party agrees to deliver substitute Performance Assurance to the Exposed Party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pStyle w:val="Normal"/>
        <w:jc w:val="both"/>
        <w:rPr/>
      </w:pPr>
      <w:r>
        <w:rPr/>
        <w:tab/>
        <w:t xml:space="preserve">5.  </w:t>
      </w:r>
      <w:r>
        <w:rPr>
          <w:u w:val="single"/>
        </w:rPr>
        <w:t>Additional Representation</w:t>
      </w:r>
      <w:r>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39"/>
          <w:headerReference w:type="first" r:id="rId40"/>
          <w:footerReference w:type="default" r:id="rId41"/>
          <w:footerReference w:type="first" r:id="rId42"/>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pPr>
      <w:r>
        <w:rPr/>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6"/>
        </w:numPr>
        <w:jc w:val="both"/>
        <w:rPr/>
      </w:pPr>
      <w:r>
        <w:rPr/>
        <w:t>“</w:t>
      </w:r>
      <w:r>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numPr>
          <w:ilvl w:val="0"/>
          <w:numId w:val="6"/>
        </w:numPr>
        <w:jc w:val="both"/>
        <w:rPr/>
      </w:pPr>
      <w:r>
        <w:rPr/>
        <w:t>“</w:t>
      </w:r>
      <w:r>
        <w:rPr/>
        <w:t>An Early Termination Date (as defined in the Confirmation) has occurred as a result of a Termination Event (as defined in the Confirmation) and Account Party has failed to make all payments due and owing to beneficiary in accordance with the terms of the Confirmation.”</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000000"/>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pStyle w:val="Normal"/>
        <w:tabs>
          <w:tab w:val="clear" w:pos="720"/>
          <w:tab w:val="left" w:pos="4320" w:leader="none"/>
          <w:tab w:val="left" w:pos="5040" w:leader="none"/>
          <w:tab w:val="left" w:pos="5760" w:leader="none"/>
        </w:tabs>
        <w:ind w:start="5040" w:end="0"/>
        <w:rPr/>
      </w:pPr>
      <w:r>
        <w:rPr/>
        <w:t>[BANK SIGNATURE]</w:t>
      </w:r>
    </w:p>
    <w:sectPr>
      <w:headerReference w:type="default" r:id="rId43"/>
      <w:headerReference w:type="first" r:id="rId44"/>
      <w:footerReference w:type="default" r:id="rId45"/>
      <w:footerReference w:type="first" r:id="rId46"/>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Annex B-1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t>Annex B-1</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t>Annex B-1</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/mnt/main-storage/datasets/enron-docs/doc/deemedISDA_8_22_00_.doc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t>Annex B-1</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Annex B-1</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6"/>
        </w:rPr>
        <w:t>Insert if commodity or weather transaction</w:t>
      </w:r>
    </w:p>
  </w:footnote>
  <w:footnote w:id="3">
    <w:p>
      <w:pPr>
        <w:pStyle w:val="FootnoteText"/>
        <w:rPr/>
      </w:pPr>
      <w:r>
        <w:rPr>
          <w:rStyle w:val="FootnoteCharacters"/>
        </w:rPr>
        <w:footnoteRef/>
      </w:r>
      <w:r>
        <w:rPr/>
        <w:t xml:space="preserve"> </w:t>
      </w:r>
      <w:r>
        <w:rPr>
          <w:sz w:val="16"/>
        </w:rPr>
        <w:t>Insert if interest rate transaction</w:t>
      </w:r>
    </w:p>
  </w:footnote>
  <w:footnote w:id="4">
    <w:p>
      <w:pPr>
        <w:pStyle w:val="FootnoteText"/>
        <w:rPr/>
      </w:pPr>
      <w:r>
        <w:rPr>
          <w:rStyle w:val="FootnoteCharacters"/>
        </w:rPr>
        <w:footnoteRef/>
      </w:r>
      <w:r>
        <w:rPr/>
        <w:t xml:space="preserve"> </w:t>
      </w:r>
      <w:r>
        <w:rPr>
          <w:sz w:val="16"/>
        </w:rPr>
        <w:t>Insert if FX or currency option transaction</w:t>
      </w:r>
    </w:p>
  </w:footnote>
  <w:footnote w:id="5">
    <w:p>
      <w:pPr>
        <w:pStyle w:val="FootnoteText"/>
        <w:rPr/>
      </w:pPr>
      <w:r>
        <w:rPr>
          <w:rStyle w:val="FootnoteCharacters"/>
        </w:rPr>
        <w:footnoteRef/>
      </w:r>
      <w:r>
        <w:rPr/>
        <w:t xml:space="preserve"> </w:t>
      </w:r>
      <w:r>
        <w:rPr>
          <w:sz w:val="16"/>
        </w:rPr>
        <w:t>Insert if equity transaction</w:t>
      </w:r>
    </w:p>
  </w:footnote>
  <w:footnote w:id="6">
    <w:p>
      <w:pPr>
        <w:pStyle w:val="FootnoteText"/>
        <w:rPr/>
      </w:pPr>
      <w:r>
        <w:rPr>
          <w:rStyle w:val="FootnoteCharacters"/>
        </w:rPr>
        <w:footnoteRef/>
      </w:r>
      <w:r>
        <w:rPr/>
        <w:t xml:space="preserve"> </w:t>
      </w:r>
      <w:r>
        <w:rPr>
          <w:sz w:val="16"/>
        </w:rPr>
        <w:t>Insert for U.S. and Canadian counterparties.</w:t>
      </w:r>
    </w:p>
  </w:footnote>
  <w:footnote w:id="7">
    <w:p>
      <w:pPr>
        <w:pStyle w:val="FootnoteText"/>
        <w:rPr/>
      </w:pPr>
      <w:r>
        <w:rPr>
          <w:rStyle w:val="FootnoteCharacters"/>
        </w:rPr>
        <w:footnoteRef/>
      </w:r>
      <w:r>
        <w:rPr/>
        <w:t xml:space="preserve"> </w:t>
      </w:r>
      <w:r>
        <w:rPr>
          <w:sz w:val="16"/>
        </w:rPr>
        <w:t>Insert for Mexican counterparties.  May consider for use with other foreign counterparties, if there is a question as to accessability to CFR publications.</w:t>
      </w:r>
    </w:p>
  </w:footnote>
  <w:footnote w:id="8">
    <w:p>
      <w:pPr>
        <w:pStyle w:val="FootnoteText"/>
        <w:rPr/>
      </w:pPr>
      <w:r>
        <w:rPr>
          <w:rStyle w:val="FootnoteCharacters"/>
        </w:rPr>
        <w:footnoteRef/>
      </w:r>
      <w:r>
        <w:rPr/>
        <w:t xml:space="preserve"> </w:t>
      </w:r>
      <w:r>
        <w:rPr>
          <w:sz w:val="16"/>
        </w:rPr>
        <w:t>Insert for non-weather deals</w:t>
      </w:r>
    </w:p>
  </w:footnote>
  <w:footnote w:id="9">
    <w:p>
      <w:pPr>
        <w:pStyle w:val="FootnoteText"/>
        <w:rPr/>
      </w:pPr>
      <w:r>
        <w:rPr>
          <w:rStyle w:val="FootnoteCharacters"/>
        </w:rPr>
        <w:footnoteRef/>
      </w:r>
      <w:r>
        <w:rPr/>
        <w:t xml:space="preserve"> </w:t>
      </w:r>
      <w:r>
        <w:rPr>
          <w:sz w:val="16"/>
        </w:rPr>
        <w:t>Insert for weather deals.</w:t>
      </w:r>
    </w:p>
  </w:footnote>
  <w:footnote w:id="10">
    <w:p>
      <w:pPr>
        <w:pStyle w:val="FootnoteText"/>
        <w:rPr/>
      </w:pPr>
      <w:r>
        <w:rPr>
          <w:rStyle w:val="FootnoteCharacters"/>
        </w:rPr>
        <w:footnoteRef/>
      </w:r>
      <w:r>
        <w:rPr/>
        <w:t xml:space="preserve"> </w:t>
      </w:r>
      <w:r>
        <w:rPr>
          <w:sz w:val="16"/>
        </w:rPr>
        <w:t>Insert in deemed ISDA “samples”, when no product determination has yet been made.</w:t>
      </w:r>
    </w:p>
  </w:footnote>
  <w:footnote w:id="11">
    <w:p>
      <w:pPr>
        <w:pStyle w:val="FootnoteText"/>
        <w:rPr/>
      </w:pPr>
      <w:r>
        <w:rPr>
          <w:rStyle w:val="FootnoteCharacters"/>
        </w:rPr>
        <w:footnoteRef/>
      </w:r>
      <w:r>
        <w:rPr>
          <w:sz w:val="16"/>
        </w:rPr>
        <w:t xml:space="preserve"> </w:t>
      </w:r>
      <w:r>
        <w:rPr>
          <w:sz w:val="16"/>
        </w:rPr>
        <w:t>Insert for deals with counterparties located, headquartered or incorporated in Canada</w:t>
      </w:r>
    </w:p>
  </w:footnote>
  <w:footnote w:id="12">
    <w:p>
      <w:pPr>
        <w:pStyle w:val="FootnoteText"/>
        <w:rPr/>
      </w:pPr>
      <w:r>
        <w:rPr>
          <w:rStyle w:val="FootnoteCharacters"/>
        </w:rPr>
        <w:footnoteRef/>
      </w:r>
      <w:r>
        <w:rPr/>
        <w:t xml:space="preserve"> </w:t>
      </w:r>
      <w:r>
        <w:rPr>
          <w:sz w:val="16"/>
        </w:rPr>
        <w:t>Insert for Mexican counterparties</w:t>
      </w:r>
    </w:p>
  </w:footnote>
  <w:footnote w:id="13">
    <w:p>
      <w:pPr>
        <w:pStyle w:val="FootnoteText"/>
        <w:rPr/>
      </w:pPr>
      <w:r>
        <w:rPr>
          <w:rStyle w:val="FootnoteCharacters"/>
        </w:rPr>
        <w:footnoteRef/>
      </w:r>
      <w:r>
        <w:rPr/>
        <w:t xml:space="preserve"> </w:t>
      </w:r>
      <w:r>
        <w:rPr>
          <w:sz w:val="16"/>
        </w:rPr>
        <w:t>Insert for Mexican counterparties</w:t>
      </w:r>
    </w:p>
  </w:footnote>
  <w:footnote w:id="14">
    <w:p>
      <w:pPr>
        <w:pStyle w:val="FootnoteText"/>
        <w:rPr/>
      </w:pPr>
      <w:r>
        <w:rPr>
          <w:rStyle w:val="FootnoteCharacters"/>
        </w:rPr>
        <w:footnoteRef/>
      </w:r>
      <w:r>
        <w:rPr/>
        <w:t xml:space="preserve"> </w:t>
      </w:r>
      <w:r>
        <w:rPr>
          <w:sz w:val="16"/>
        </w:rPr>
        <w:t>Insert for foreign counterparties</w:t>
      </w:r>
    </w:p>
  </w:footnote>
  <w:footnote w:id="15">
    <w:p>
      <w:pPr>
        <w:pStyle w:val="FootnoteText"/>
        <w:rPr/>
      </w:pPr>
      <w:r>
        <w:rPr>
          <w:rStyle w:val="FootnoteCharacters"/>
        </w:rPr>
        <w:footnoteRef/>
      </w:r>
      <w:r>
        <w:rPr/>
        <w:t xml:space="preserve"> </w:t>
      </w:r>
      <w:r>
        <w:rPr>
          <w:sz w:val="16"/>
        </w:rPr>
        <w:t>Insert for Mexican counterparties</w:t>
      </w:r>
    </w:p>
  </w:footnote>
  <w:footnote w:id="16">
    <w:p>
      <w:pPr>
        <w:pStyle w:val="FootnoteText"/>
        <w:rPr/>
      </w:pPr>
      <w:r>
        <w:rPr>
          <w:rStyle w:val="FootnoteCharacters"/>
        </w:rPr>
        <w:footnoteRef/>
      </w:r>
      <w:r>
        <w:rPr/>
        <w:t xml:space="preserve"> </w:t>
      </w:r>
      <w:r>
        <w:rPr>
          <w:sz w:val="16"/>
        </w:rPr>
        <w:t>Insert for Mexican counterparties</w:t>
      </w:r>
    </w:p>
  </w:footnote>
  <w:footnote w:id="17">
    <w:p>
      <w:pPr>
        <w:pStyle w:val="FootnoteText"/>
        <w:rPr/>
      </w:pPr>
      <w:r>
        <w:rPr>
          <w:rStyle w:val="FootnoteCharacters"/>
        </w:rPr>
        <w:footnoteRef/>
      </w:r>
      <w:r>
        <w:rPr/>
        <w:t xml:space="preserve"> </w:t>
      </w:r>
      <w:r>
        <w:rPr>
          <w:sz w:val="16"/>
        </w:rPr>
        <w:t>Insert for foreign counterparties</w:t>
      </w:r>
    </w:p>
  </w:footnote>
  <w:footnote w:id="18">
    <w:p>
      <w:pPr>
        <w:pStyle w:val="FootnoteText"/>
        <w:rPr/>
      </w:pPr>
      <w:r>
        <w:rPr>
          <w:rStyle w:val="FootnoteCharacters"/>
        </w:rPr>
        <w:footnoteRef/>
      </w:r>
      <w:r>
        <w:rPr/>
        <w:t xml:space="preserve"> </w:t>
      </w:r>
      <w:r>
        <w:rPr>
          <w:sz w:val="16"/>
        </w:rPr>
        <w:t>Insert for U.S. insurance companies</w:t>
      </w:r>
    </w:p>
  </w:footnote>
  <w:footnote w:id="19">
    <w:p>
      <w:pPr>
        <w:pStyle w:val="FootnoteText"/>
        <w:rPr/>
      </w:pPr>
      <w:r>
        <w:rPr>
          <w:rStyle w:val="FootnoteCharacters"/>
        </w:rPr>
        <w:footnoteRef/>
      </w:r>
      <w:r>
        <w:rPr>
          <w:sz w:val="16"/>
        </w:rPr>
        <w:t xml:space="preserve"> </w:t>
      </w:r>
      <w:r>
        <w:rPr>
          <w:sz w:val="16"/>
        </w:rPr>
        <w:t xml:space="preserve">Insert subparagraphs (a) through (c) for insurance companies.   May want to insert subparagraphs (b) and (c) for foreign counterparties. </w:t>
      </w:r>
    </w:p>
    <w:p>
      <w:pPr>
        <w:pStyle w:val="FootnoteText"/>
        <w:rPr>
          <w:sz w:val="16"/>
        </w:rPr>
      </w:pPr>
      <w:r>
        <w:rPr>
          <w:sz w:val="16"/>
        </w:rPr>
        <w:t>May want to insert subparagraph (c) only for limited partnerships and llc’s</w:t>
      </w:r>
    </w:p>
  </w:footnote>
  <w:footnote w:id="20">
    <w:p>
      <w:pPr>
        <w:pStyle w:val="FootnoteText"/>
        <w:rPr/>
      </w:pPr>
      <w:r>
        <w:rPr>
          <w:rStyle w:val="FootnoteCharacters"/>
        </w:rPr>
        <w:footnoteRef/>
      </w:r>
      <w:r>
        <w:rPr/>
        <w:t xml:space="preserve"> </w:t>
      </w:r>
      <w:r>
        <w:rPr>
          <w:sz w:val="16"/>
        </w:rPr>
        <w:t>Insert for Mexican counterparties</w:t>
      </w:r>
    </w:p>
  </w:footnote>
  <w:footnote w:id="21">
    <w:p>
      <w:pPr>
        <w:pStyle w:val="FootnoteText"/>
        <w:rPr/>
      </w:pPr>
      <w:r>
        <w:rPr>
          <w:rStyle w:val="FootnoteCharacters"/>
        </w:rPr>
        <w:footnoteRef/>
      </w:r>
      <w:r>
        <w:rPr/>
        <w:t xml:space="preserve"> </w:t>
      </w:r>
      <w:r>
        <w:rPr>
          <w:sz w:val="16"/>
        </w:rPr>
        <w:t>Delete if no credit</w:t>
      </w:r>
    </w:p>
  </w:footnote>
  <w:footnote w:id="22">
    <w:p>
      <w:pPr>
        <w:pStyle w:val="FootnoteText"/>
        <w:rPr/>
      </w:pPr>
      <w:r>
        <w:rPr>
          <w:rStyle w:val="FootnoteCharacters"/>
        </w:rPr>
        <w:footnoteRef/>
      </w:r>
      <w:r>
        <w:rPr>
          <w:sz w:val="16"/>
        </w:rPr>
        <w:t xml:space="preserve"> </w:t>
      </w:r>
      <w:r>
        <w:rPr>
          <w:sz w:val="16"/>
        </w:rPr>
        <w:t>Use for weather deals</w:t>
      </w:r>
    </w:p>
  </w:footnote>
  <w:footnote w:id="23">
    <w:p>
      <w:pPr>
        <w:pStyle w:val="FootnoteText"/>
        <w:rPr/>
      </w:pPr>
      <w:r>
        <w:rPr>
          <w:rStyle w:val="FootnoteCharacters"/>
        </w:rPr>
        <w:footnoteRef/>
      </w:r>
      <w:r>
        <w:rPr/>
        <w:t xml:space="preserve"> </w:t>
      </w:r>
      <w:r>
        <w:rPr>
          <w:b/>
          <w:sz w:val="16"/>
        </w:rPr>
        <w:t>Use for Foreign Counterparty that is (i) Resident in a Treaty Jurisdiction and (ii) Acting Exclusively Through U.S. Branches or Offices</w:t>
      </w:r>
    </w:p>
  </w:footnote>
  <w:footnote w:id="24">
    <w:p>
      <w:pPr>
        <w:pStyle w:val="FootnoteText"/>
        <w:rPr/>
      </w:pPr>
      <w:r>
        <w:rPr>
          <w:rStyle w:val="FootnoteCharacters"/>
        </w:rPr>
        <w:footnoteRef/>
      </w:r>
      <w:r>
        <w:rPr>
          <w:sz w:val="16"/>
        </w:rPr>
        <w:t xml:space="preserve"> </w:t>
      </w:r>
      <w:r>
        <w:rPr>
          <w:b/>
          <w:sz w:val="16"/>
        </w:rPr>
        <w:t>Use for Foreign Counterparty that is (i) Resident in a Treaty Jurisdiction and (ii) Acting Exclusively Through Non-U.S. Branches or Offices</w:t>
      </w:r>
    </w:p>
  </w:footnote>
  <w:footnote w:id="25">
    <w:p>
      <w:pPr>
        <w:pStyle w:val="FootnoteText"/>
        <w:rPr/>
      </w:pPr>
      <w:r>
        <w:rPr>
          <w:rStyle w:val="FootnoteCharacters"/>
        </w:rPr>
        <w:footnoteRef/>
      </w:r>
      <w:r>
        <w:rPr>
          <w:sz w:val="16"/>
        </w:rPr>
        <w:t xml:space="preserve"> </w:t>
      </w:r>
      <w:r>
        <w:rPr>
          <w:b/>
          <w:sz w:val="16"/>
        </w:rPr>
        <w:t>Use for U.S. Counterparty</w:t>
      </w:r>
    </w:p>
  </w:footnote>
  <w:footnote w:id="26">
    <w:p>
      <w:pPr>
        <w:pStyle w:val="FootnoteText"/>
        <w:rPr/>
      </w:pPr>
      <w:r>
        <w:rPr>
          <w:rStyle w:val="FootnoteCharacters"/>
        </w:rPr>
        <w:footnoteRef/>
      </w:r>
      <w:r>
        <w:rPr>
          <w:sz w:val="16"/>
        </w:rPr>
        <w:t xml:space="preserve"> </w:t>
      </w:r>
      <w:r>
        <w:rPr>
          <w:b/>
          <w:sz w:val="16"/>
        </w:rPr>
        <w:t>Use for Foreign Counterparty that is (i) Not Eligible for Treaty Benefits and (ii) Will Act Exclusively Through Branches, Offices or Agencies Outside the U.S.</w:t>
      </w:r>
    </w:p>
  </w:footnote>
  <w:footnote w:id="27">
    <w:p>
      <w:pPr>
        <w:pStyle w:val="FootnoteText"/>
        <w:rPr/>
      </w:pPr>
      <w:r>
        <w:rPr>
          <w:rStyle w:val="FootnoteCharacters"/>
        </w:rPr>
        <w:footnoteRef/>
      </w:r>
      <w:r>
        <w:rPr/>
        <w:t xml:space="preserve"> </w:t>
      </w:r>
      <w:r>
        <w:rPr>
          <w:sz w:val="18"/>
        </w:rPr>
        <w:t xml:space="preserve">Insert only if </w:t>
      </w:r>
      <w:r>
        <w:rPr>
          <w:sz w:val="18"/>
          <w:u w:val="single"/>
        </w:rPr>
        <w:t>upfront</w:t>
      </w:r>
      <w:r>
        <w:rPr>
          <w:sz w:val="18"/>
        </w:rPr>
        <w:t xml:space="preserve"> additional amount is to be provided</w:t>
      </w:r>
    </w:p>
  </w:footnote>
  <w:footnote w:id="28">
    <w:p>
      <w:pPr>
        <w:pStyle w:val="FootnoteText"/>
        <w:rPr/>
      </w:pPr>
      <w:r>
        <w:rPr>
          <w:rStyle w:val="FootnoteCharacters"/>
        </w:rPr>
        <w:footnoteRef/>
      </w:r>
      <w:r>
        <w:rPr/>
        <w:t xml:space="preserve"> </w:t>
      </w:r>
      <w:r>
        <w:rPr>
          <w:sz w:val="18"/>
        </w:rPr>
        <w:t xml:space="preserve">Insert only if </w:t>
      </w:r>
      <w:r>
        <w:rPr>
          <w:sz w:val="18"/>
          <w:u w:val="single"/>
        </w:rPr>
        <w:t>upfront</w:t>
      </w:r>
      <w:r>
        <w:rPr>
          <w:sz w:val="18"/>
        </w:rPr>
        <w:t xml:space="preserve"> additional amount is to be provided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360"/>
        </w:tabs>
        <w:ind w:start="360" w:hanging="360"/>
      </w:pPr>
    </w:lvl>
  </w:abstractNum>
  <w:abstractNum w:abstractNumId="8">
    <w:lvl w:ilvl="0">
      <w:start w:val="2"/>
      <w:numFmt w:val="lowerLetter"/>
      <w:lvlText w:val="(%1)"/>
      <w:lvlJc w:val="start"/>
      <w:pPr>
        <w:tabs>
          <w:tab w:val="num" w:pos="1440"/>
        </w:tabs>
        <w:ind w:start="1440" w:hanging="720"/>
      </w:pPr>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footer" Target="footer19.xml"/><Relationship Id="rId38" Type="http://schemas.openxmlformats.org/officeDocument/2006/relationships/footer" Target="footer20.xml"/><Relationship Id="rId39" Type="http://schemas.openxmlformats.org/officeDocument/2006/relationships/header" Target="header18.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footer" Target="footer22.xml"/><Relationship Id="rId43" Type="http://schemas.openxmlformats.org/officeDocument/2006/relationships/header" Target="header20.xml"/><Relationship Id="rId44" Type="http://schemas.openxmlformats.org/officeDocument/2006/relationships/header" Target="header21.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2000-08-22T12:05:00Z</dcterms:created>
  <dc:creator>mheard</dc:creator>
  <dc:description/>
  <dc:language>en-CA</dc:language>
  <cp:lastModifiedBy>sbaile2</cp:lastModifiedBy>
  <cp:lastPrinted>2000-08-28T11:17:00Z</cp:lastPrinted>
  <dcterms:modified xsi:type="dcterms:W3CDTF">2000-09-13T15:07:00Z</dcterms:modified>
  <cp:revision>20</cp:revision>
  <dc:subject/>
  <dc:title>“DEEMED ISDA” CONFIRMATION</dc:title>
</cp:coreProperties>
</file>