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ENRON GLOBAL MARKETS / ENVERA DEAL SUMMARY</w:t>
      </w:r>
    </w:p>
    <w:p>
      <w:pPr>
        <w:pStyle w:val="Normal"/>
        <w:jc w:val="center"/>
        <w:rPr>
          <w:b/>
          <w:sz w:val="24"/>
        </w:rPr>
      </w:pPr>
      <w:r>
        <w:rPr>
          <w:b/>
          <w:sz w:val="24"/>
        </w:rPr>
      </w:r>
    </w:p>
    <w:p>
      <w:pPr>
        <w:pStyle w:val="Heading2"/>
        <w:ind w:hanging="0" w:start="0"/>
        <w:rPr>
          <w:sz w:val="20"/>
        </w:rPr>
      </w:pPr>
      <w:r>
        <w:rPr>
          <w:sz w:val="20"/>
        </w:rPr>
        <w:t>Background About Envera</w:t>
      </w:r>
    </w:p>
    <w:p>
      <w:pPr>
        <w:pStyle w:val="Normal"/>
        <w:rPr>
          <w:sz w:val="20"/>
        </w:rPr>
      </w:pPr>
      <w:r>
        <w:rPr>
          <w:sz w:val="20"/>
        </w:rPr>
      </w:r>
    </w:p>
    <w:p>
      <w:pPr>
        <w:pStyle w:val="Normal"/>
        <w:jc w:val="both"/>
        <w:rPr/>
      </w:pPr>
      <w:r>
        <w:rPr/>
        <w:t>Envera is an e-business solutions provider focused on improving supply-chain communications in the chemical and petroleum industries. Envera is 1) creating a “connectivity hub” that allows each member’s electronic systems to seamlessly and efficiently connect to all other hub members’ systems; and 2) assembling a group of preferred world-class service providers for the Envera Network. The industry estimates that potential savings from “connectivity” may reach $20 billion.</w:t>
      </w:r>
    </w:p>
    <w:p>
      <w:pPr>
        <w:pStyle w:val="Normal"/>
        <w:jc w:val="both"/>
        <w:rPr/>
      </w:pPr>
      <w:r>
        <w:rPr/>
      </w:r>
    </w:p>
    <w:p>
      <w:pPr>
        <w:pStyle w:val="Normal"/>
        <w:jc w:val="both"/>
        <w:rPr/>
      </w:pPr>
      <w:r>
        <w:rPr/>
        <w:t xml:space="preserve">Envera is </w:t>
      </w:r>
      <w:r>
        <w:rPr>
          <w:u w:val="single"/>
        </w:rPr>
        <w:t>not</w:t>
      </w:r>
      <w:r>
        <w:rPr/>
        <w:t xml:space="preserve"> a “trading” or “exchange” site. Envera’s initial equity and hub partners include: Albemarle Corporation; Borden Chemical, Inc; Equistar; Ethyl Corporation; Lubrizol; Lyondell Chemical Co.; Mays Chemical; Occidental Chemical Corporation; Phenolchemie; and Solutia. Visit Envera via its Web site at </w:t>
      </w:r>
      <w:hyperlink r:id="rId2">
        <w:r>
          <w:rPr>
            <w:rStyle w:val="Hyperlink"/>
          </w:rPr>
          <w:t>www.envera.com</w:t>
        </w:r>
      </w:hyperlink>
      <w:r>
        <w:rPr/>
        <w:t>.</w:t>
      </w:r>
    </w:p>
    <w:p>
      <w:pPr>
        <w:pStyle w:val="Normal"/>
        <w:jc w:val="both"/>
        <w:rPr/>
      </w:pPr>
      <w:r>
        <w:rPr/>
      </w:r>
    </w:p>
    <w:p>
      <w:pPr>
        <w:pStyle w:val="Heading2"/>
        <w:ind w:hanging="0" w:start="0"/>
        <w:rPr>
          <w:sz w:val="20"/>
        </w:rPr>
      </w:pPr>
      <w:r>
        <w:rPr>
          <w:sz w:val="20"/>
        </w:rPr>
        <w:t>Deal Description</w:t>
      </w:r>
    </w:p>
    <w:p>
      <w:pPr>
        <w:pStyle w:val="Normal"/>
        <w:rPr>
          <w:sz w:val="20"/>
        </w:rPr>
      </w:pPr>
      <w:r>
        <w:rPr>
          <w:sz w:val="20"/>
        </w:rPr>
      </w:r>
    </w:p>
    <w:p>
      <w:pPr>
        <w:pStyle w:val="Normal"/>
        <w:numPr>
          <w:ilvl w:val="0"/>
          <w:numId w:val="5"/>
        </w:numPr>
        <w:jc w:val="both"/>
        <w:rPr/>
      </w:pPr>
      <w:r>
        <w:rPr/>
        <w:t>A small, but leverageable, very rich deal for Enron Global Markets.  Further the Envera model is scalable and transferable to other verticals</w:t>
      </w:r>
    </w:p>
    <w:p>
      <w:pPr>
        <w:pStyle w:val="Normal"/>
        <w:jc w:val="both"/>
        <w:rPr/>
      </w:pPr>
      <w:r>
        <w:rPr/>
      </w:r>
    </w:p>
    <w:p>
      <w:pPr>
        <w:pStyle w:val="Normal"/>
        <w:numPr>
          <w:ilvl w:val="0"/>
          <w:numId w:val="5"/>
        </w:numPr>
        <w:jc w:val="both"/>
        <w:rPr/>
      </w:pPr>
      <w:r>
        <w:rPr/>
        <w:t>Basic Structure: Enron Global Markets receives 12.5% of Envera equity and one-way links from the Envera website to either the Enron Global Markets Petchem’s or the EnronOnline websites in exchange for “Enron goodwill”.  Envera sees huge upside in being associated with Enron (our name, image, position as a leading commodity trading company, innovator, and everything else the company entails).  They feel the Enron alliance will allow them to enter a different tier of the market, drawing in additional hub participants and equity investors.  Further, they place value on Enron’s sleeving transactions with their members.</w:t>
      </w:r>
    </w:p>
    <w:p>
      <w:pPr>
        <w:pStyle w:val="Normal"/>
        <w:jc w:val="both"/>
        <w:rPr/>
      </w:pPr>
      <w:r>
        <w:rPr/>
      </w:r>
    </w:p>
    <w:p>
      <w:pPr>
        <w:pStyle w:val="Normal"/>
        <w:numPr>
          <w:ilvl w:val="0"/>
          <w:numId w:val="5"/>
        </w:numPr>
        <w:jc w:val="both"/>
        <w:rPr/>
      </w:pPr>
      <w:r>
        <w:rPr/>
        <w:t>Equity percentage valued at $4 million on the basis of  Envera’s $23 million in cash, $5 million in non-cash assets (a patent covering the hub connectivity concept), and Enron’s “$4 million non-cash contribution”. Enron deliverables include not unreasonably withholding the approval of an Envera press release covering our equity and hub participation, subscription to the hub at the market rate, actually connecting to the hub, trading with Envera members, introducing Envera members to EES, and optional participation in other joint marketing events.</w:t>
      </w:r>
    </w:p>
    <w:p>
      <w:pPr>
        <w:pStyle w:val="Normal"/>
        <w:jc w:val="both"/>
        <w:rPr/>
      </w:pPr>
      <w:r>
        <w:rPr/>
      </w:r>
    </w:p>
    <w:p>
      <w:pPr>
        <w:pStyle w:val="Normal"/>
        <w:numPr>
          <w:ilvl w:val="0"/>
          <w:numId w:val="6"/>
        </w:numPr>
        <w:jc w:val="both"/>
        <w:rPr/>
      </w:pPr>
      <w:r>
        <w:rPr/>
        <w:t>Specific, Acretive Value for Enron Global Markets:</w:t>
      </w:r>
    </w:p>
    <w:p>
      <w:pPr>
        <w:pStyle w:val="Normal"/>
        <w:numPr>
          <w:ilvl w:val="0"/>
          <w:numId w:val="2"/>
        </w:numPr>
        <w:tabs>
          <w:tab w:val="left" w:pos="720" w:leader="none"/>
        </w:tabs>
        <w:ind w:hanging="360" w:start="720" w:end="0"/>
        <w:jc w:val="both"/>
        <w:rPr/>
      </w:pPr>
      <w:r>
        <w:rPr>
          <w:b/>
        </w:rPr>
        <w:t>12.5% equity for no cash</w:t>
      </w:r>
      <w:r>
        <w:rPr/>
        <w:t>, largely in exchange for things EGM would do anyway</w:t>
      </w:r>
    </w:p>
    <w:p>
      <w:pPr>
        <w:pStyle w:val="Normal"/>
        <w:numPr>
          <w:ilvl w:val="0"/>
          <w:numId w:val="2"/>
        </w:numPr>
        <w:tabs>
          <w:tab w:val="left" w:pos="720" w:leader="none"/>
        </w:tabs>
        <w:ind w:hanging="360" w:start="720" w:end="0"/>
        <w:jc w:val="both"/>
        <w:rPr/>
      </w:pPr>
      <w:r>
        <w:rPr>
          <w:b/>
        </w:rPr>
        <w:t>Leverage with no capital outlay</w:t>
      </w:r>
      <w:r>
        <w:rPr/>
        <w:t xml:space="preserve"> through additional physical trade flow and information </w:t>
      </w:r>
    </w:p>
    <w:p>
      <w:pPr>
        <w:pStyle w:val="Normal"/>
        <w:numPr>
          <w:ilvl w:val="0"/>
          <w:numId w:val="2"/>
        </w:numPr>
        <w:tabs>
          <w:tab w:val="left" w:pos="720" w:leader="none"/>
        </w:tabs>
        <w:ind w:hanging="360" w:start="720" w:end="0"/>
        <w:jc w:val="both"/>
        <w:rPr/>
      </w:pPr>
      <w:r>
        <w:rPr/>
        <w:t xml:space="preserve">Significant </w:t>
      </w:r>
      <w:r>
        <w:rPr>
          <w:b/>
        </w:rPr>
        <w:t>equity appreciation</w:t>
      </w:r>
      <w:r>
        <w:rPr/>
        <w:t xml:space="preserve"> post expected successful execution of Envera business plan through Member additions and especially through application in </w:t>
      </w:r>
      <w:r>
        <w:rPr>
          <w:b/>
        </w:rPr>
        <w:t>Gas and Power verticals</w:t>
      </w:r>
      <w:r>
        <w:rPr/>
        <w:t xml:space="preserve"> possibly via alliance with CommodityLogic</w:t>
      </w:r>
    </w:p>
    <w:p>
      <w:pPr>
        <w:pStyle w:val="Normal"/>
        <w:numPr>
          <w:ilvl w:val="0"/>
          <w:numId w:val="2"/>
        </w:numPr>
        <w:tabs>
          <w:tab w:val="left" w:pos="720" w:leader="none"/>
        </w:tabs>
        <w:ind w:hanging="360" w:start="720" w:end="0"/>
        <w:jc w:val="both"/>
        <w:rPr/>
      </w:pPr>
      <w:r>
        <w:rPr/>
        <w:t xml:space="preserve">Immediate addition of </w:t>
      </w:r>
      <w:r>
        <w:rPr>
          <w:b/>
        </w:rPr>
        <w:t>liquidity-building</w:t>
      </w:r>
      <w:r>
        <w:rPr/>
        <w:t xml:space="preserve"> trade counter-parties</w:t>
      </w:r>
    </w:p>
    <w:p>
      <w:pPr>
        <w:pStyle w:val="Normal"/>
        <w:numPr>
          <w:ilvl w:val="0"/>
          <w:numId w:val="2"/>
        </w:numPr>
        <w:tabs>
          <w:tab w:val="left" w:pos="720" w:leader="none"/>
        </w:tabs>
        <w:ind w:hanging="360" w:start="720" w:end="0"/>
        <w:jc w:val="both"/>
        <w:rPr/>
      </w:pPr>
      <w:r>
        <w:rPr/>
        <w:t xml:space="preserve">A step toward becoming </w:t>
      </w:r>
      <w:r>
        <w:rPr>
          <w:b/>
        </w:rPr>
        <w:t>“THE” on-line site</w:t>
      </w:r>
      <w:r>
        <w:rPr/>
        <w:t xml:space="preserve"> for natural gas liquids / chemicals</w:t>
      </w:r>
    </w:p>
    <w:p>
      <w:pPr>
        <w:pStyle w:val="Normal"/>
        <w:numPr>
          <w:ilvl w:val="0"/>
          <w:numId w:val="2"/>
        </w:numPr>
        <w:tabs>
          <w:tab w:val="left" w:pos="720" w:leader="none"/>
        </w:tabs>
        <w:ind w:hanging="360" w:start="720" w:end="0"/>
        <w:jc w:val="both"/>
        <w:rPr/>
      </w:pPr>
      <w:r>
        <w:rPr>
          <w:b/>
        </w:rPr>
        <w:t>“</w:t>
      </w:r>
      <w:r>
        <w:rPr>
          <w:b/>
        </w:rPr>
        <w:t>Member-of-the-club”</w:t>
      </w:r>
      <w:r>
        <w:rPr/>
        <w:t xml:space="preserve"> recognition</w:t>
      </w:r>
    </w:p>
    <w:p>
      <w:pPr>
        <w:pStyle w:val="Normal"/>
        <w:numPr>
          <w:ilvl w:val="0"/>
          <w:numId w:val="2"/>
        </w:numPr>
        <w:tabs>
          <w:tab w:val="left" w:pos="720" w:leader="none"/>
        </w:tabs>
        <w:ind w:hanging="360" w:start="720" w:end="0"/>
        <w:jc w:val="both"/>
        <w:rPr/>
      </w:pPr>
      <w:r>
        <w:rPr>
          <w:b/>
        </w:rPr>
        <w:t>Enhanced contact</w:t>
      </w:r>
      <w:r>
        <w:rPr/>
        <w:t xml:space="preserve"> with one of the key industries targeted by Global Markets</w:t>
      </w:r>
    </w:p>
    <w:p>
      <w:pPr>
        <w:pStyle w:val="Normal"/>
        <w:numPr>
          <w:ilvl w:val="0"/>
          <w:numId w:val="2"/>
        </w:numPr>
        <w:tabs>
          <w:tab w:val="left" w:pos="720" w:leader="none"/>
        </w:tabs>
        <w:ind w:hanging="360" w:start="720" w:end="0"/>
        <w:jc w:val="both"/>
        <w:rPr/>
      </w:pPr>
      <w:r>
        <w:rPr>
          <w:b/>
        </w:rPr>
        <w:t>Free advertising</w:t>
      </w:r>
      <w:r>
        <w:rPr/>
        <w:t xml:space="preserve"> and market exposure</w:t>
      </w:r>
    </w:p>
    <w:p>
      <w:pPr>
        <w:pStyle w:val="Normal"/>
        <w:numPr>
          <w:ilvl w:val="0"/>
          <w:numId w:val="2"/>
        </w:numPr>
        <w:tabs>
          <w:tab w:val="left" w:pos="720" w:leader="none"/>
        </w:tabs>
        <w:ind w:hanging="360" w:start="720" w:end="0"/>
        <w:jc w:val="both"/>
        <w:rPr/>
      </w:pPr>
      <w:r>
        <w:rPr>
          <w:b/>
        </w:rPr>
        <w:t>Back office efficiency</w:t>
      </w:r>
      <w:r>
        <w:rPr/>
        <w:t xml:space="preserve">  enhancement via becoming a “connected” member</w:t>
      </w:r>
    </w:p>
    <w:p>
      <w:pPr>
        <w:pStyle w:val="Normal"/>
        <w:jc w:val="both"/>
        <w:rPr/>
      </w:pPr>
      <w:r>
        <w:rPr/>
      </w:r>
    </w:p>
    <w:p>
      <w:pPr>
        <w:pStyle w:val="Normal"/>
        <w:numPr>
          <w:ilvl w:val="0"/>
          <w:numId w:val="3"/>
        </w:numPr>
        <w:jc w:val="both"/>
        <w:rPr/>
      </w:pPr>
      <w:r>
        <w:rPr/>
        <w:t>Additional Value for Enron Energy Services:</w:t>
      </w:r>
    </w:p>
    <w:p>
      <w:pPr>
        <w:pStyle w:val="Normal"/>
        <w:numPr>
          <w:ilvl w:val="0"/>
          <w:numId w:val="4"/>
        </w:numPr>
        <w:tabs>
          <w:tab w:val="left" w:pos="720" w:leader="none"/>
        </w:tabs>
        <w:ind w:hanging="360" w:start="720" w:end="0"/>
        <w:jc w:val="both"/>
        <w:rPr/>
      </w:pPr>
      <w:r>
        <w:rPr>
          <w:b/>
        </w:rPr>
        <w:t>Preferred provider</w:t>
      </w:r>
      <w:r>
        <w:rPr/>
        <w:t xml:space="preserve"> status to Envera Members</w:t>
      </w:r>
    </w:p>
    <w:p>
      <w:pPr>
        <w:pStyle w:val="Normal"/>
        <w:numPr>
          <w:ilvl w:val="0"/>
          <w:numId w:val="4"/>
        </w:numPr>
        <w:tabs>
          <w:tab w:val="left" w:pos="720" w:leader="none"/>
        </w:tabs>
        <w:ind w:hanging="360" w:start="720" w:end="0"/>
        <w:jc w:val="both"/>
        <w:rPr/>
      </w:pPr>
      <w:r>
        <w:rPr/>
        <w:t xml:space="preserve">Ability to </w:t>
      </w:r>
      <w:r>
        <w:rPr>
          <w:b/>
        </w:rPr>
        <w:t>add a link</w:t>
      </w:r>
      <w:r>
        <w:rPr/>
        <w:t xml:space="preserve"> from the Envera website</w:t>
      </w:r>
    </w:p>
    <w:p>
      <w:pPr>
        <w:pStyle w:val="Normal"/>
        <w:numPr>
          <w:ilvl w:val="0"/>
          <w:numId w:val="4"/>
        </w:numPr>
        <w:tabs>
          <w:tab w:val="left" w:pos="720" w:leader="none"/>
        </w:tabs>
        <w:ind w:hanging="360" w:start="720" w:end="0"/>
        <w:jc w:val="both"/>
        <w:rPr/>
      </w:pPr>
      <w:r>
        <w:rPr/>
        <w:t xml:space="preserve">Ability to gain </w:t>
      </w:r>
      <w:r>
        <w:rPr>
          <w:b/>
        </w:rPr>
        <w:t>“first-look”</w:t>
      </w:r>
      <w:r>
        <w:rPr/>
        <w:t xml:space="preserve"> status for utility deals from the chemical industry</w:t>
      </w:r>
    </w:p>
    <w:p>
      <w:pPr>
        <w:pStyle w:val="Normal"/>
        <w:numPr>
          <w:ilvl w:val="0"/>
          <w:numId w:val="4"/>
        </w:numPr>
        <w:tabs>
          <w:tab w:val="left" w:pos="720" w:leader="none"/>
        </w:tabs>
        <w:ind w:hanging="360" w:start="720" w:end="0"/>
        <w:jc w:val="both"/>
        <w:rPr/>
      </w:pPr>
      <w:r>
        <w:rPr>
          <w:b/>
        </w:rPr>
        <w:t>Free advertisement and exposure</w:t>
      </w:r>
      <w:r>
        <w:rPr/>
        <w:t xml:space="preserve"> in the chemical industry</w:t>
      </w:r>
    </w:p>
    <w:p>
      <w:pPr>
        <w:pStyle w:val="Normal"/>
        <w:numPr>
          <w:ilvl w:val="0"/>
          <w:numId w:val="4"/>
        </w:numPr>
        <w:tabs>
          <w:tab w:val="left" w:pos="720" w:leader="none"/>
        </w:tabs>
        <w:ind w:hanging="360" w:start="720" w:end="0"/>
        <w:jc w:val="both"/>
        <w:rPr/>
      </w:pPr>
      <w:r>
        <w:rPr/>
        <w:t xml:space="preserve">Potential </w:t>
      </w:r>
      <w:r>
        <w:rPr>
          <w:b/>
        </w:rPr>
        <w:t>on-line RFQ’s</w:t>
      </w:r>
    </w:p>
    <w:p>
      <w:pPr>
        <w:pStyle w:val="Normal"/>
        <w:numPr>
          <w:ilvl w:val="0"/>
          <w:numId w:val="4"/>
        </w:numPr>
        <w:tabs>
          <w:tab w:val="left" w:pos="720" w:leader="none"/>
        </w:tabs>
        <w:ind w:hanging="360" w:start="720" w:end="0"/>
        <w:jc w:val="both"/>
        <w:rPr/>
      </w:pPr>
      <w:r>
        <w:rPr/>
        <w:t xml:space="preserve">Free XML </w:t>
      </w:r>
      <w:r>
        <w:rPr>
          <w:b/>
        </w:rPr>
        <w:t>document transmission rights</w:t>
      </w:r>
      <w:r>
        <w:rPr/>
        <w:t xml:space="preserve"> if desired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paragraph" w:styleId="Heading2">
    <w:name w:val="heading 2"/>
    <w:basedOn w:val="Normal"/>
    <w:next w:val="Normal"/>
    <w:qFormat/>
    <w:pPr>
      <w:keepNext w:val="true"/>
      <w:numPr>
        <w:ilvl w:val="1"/>
        <w:numId w:val="1"/>
      </w:numPr>
      <w:jc w:val="both"/>
      <w:outlineLvl w:val="1"/>
    </w:pPr>
    <w:rPr>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vera.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2001-01-22T14:29:00Z</dcterms:created>
  <dc:creator>dfriedm</dc:creator>
  <dc:description/>
  <dc:language>en-CA</dc:language>
  <cp:lastModifiedBy>dfriedm</cp:lastModifiedBy>
  <cp:lastPrinted>2001-01-22T14:39:00Z</cp:lastPrinted>
  <dcterms:modified xsi:type="dcterms:W3CDTF">2001-01-23T13:48:00Z</dcterms:modified>
  <cp:revision>24</cp:revision>
  <dc:subject/>
  <dc:title>ENRON GLOBAL MARKETS / ENVERA DEAL SUMMARY</dc:title>
</cp:coreProperties>
</file>